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B8A6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sz w:val="32"/>
          <w:szCs w:val="32"/>
          <w:lang w:val="en-US" w:eastAsia="zh-CN" w:bidi="ar"/>
        </w:rPr>
      </w:pPr>
      <w:r>
        <w:rPr>
          <w:rFonts w:hint="eastAsia" w:asciiTheme="minorEastAsia" w:hAnsiTheme="minorEastAsia" w:eastAsiaTheme="minorEastAsia" w:cstheme="minorEastAsia"/>
          <w:b/>
          <w:sz w:val="32"/>
          <w:szCs w:val="32"/>
          <w:lang w:val="en-US" w:eastAsia="zh-CN" w:bidi="ar"/>
        </w:rPr>
        <w:t>济南天雨百禾植物营养技术有限公司</w:t>
      </w:r>
    </w:p>
    <w:p w14:paraId="4B06483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sz w:val="32"/>
          <w:szCs w:val="32"/>
          <w:lang w:val="zh-CN" w:bidi="ar"/>
        </w:rPr>
      </w:pPr>
      <w:r>
        <w:rPr>
          <w:rFonts w:hint="eastAsia" w:asciiTheme="minorEastAsia" w:hAnsiTheme="minorEastAsia" w:eastAsiaTheme="minorEastAsia" w:cstheme="minorEastAsia"/>
          <w:b/>
          <w:sz w:val="32"/>
          <w:szCs w:val="32"/>
          <w:lang w:val="en-US" w:eastAsia="zh-CN" w:bidi="ar"/>
        </w:rPr>
        <w:t>济南天雨百禾年产 56000 吨植物营养与保护制剂加工项目（二期）竣工环境保护验收审核会验收组</w:t>
      </w:r>
      <w:r>
        <w:rPr>
          <w:rFonts w:hint="eastAsia" w:asciiTheme="minorEastAsia" w:hAnsiTheme="minorEastAsia" w:eastAsiaTheme="minorEastAsia" w:cstheme="minorEastAsia"/>
          <w:b/>
          <w:sz w:val="32"/>
          <w:szCs w:val="32"/>
          <w:lang w:val="zh-CN" w:bidi="ar"/>
        </w:rPr>
        <w:t>意见</w:t>
      </w:r>
    </w:p>
    <w:p w14:paraId="2F23777F">
      <w:pPr>
        <w:pStyle w:val="16"/>
        <w:rPr>
          <w:rFonts w:hint="eastAsia" w:asciiTheme="minorEastAsia" w:hAnsiTheme="minorEastAsia" w:eastAsiaTheme="minorEastAsia" w:cstheme="minorEastAsia"/>
          <w:lang w:val="zh-CN"/>
        </w:rPr>
      </w:pPr>
    </w:p>
    <w:p w14:paraId="2A8D26BD">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lang w:val="zh-CN"/>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rPr>
        <w:t>月</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rPr>
        <w:t>日，济南天雨百禾植物营养技术有限公司根据相关规定，组织召开了《济南天雨百禾植物营养技术有限公司济南天雨百禾年产 56000 吨植物营养与保护制剂加工项目（二期）》竣工环境保护验收审核会议；会议成立验收组，由建设单位、</w:t>
      </w:r>
      <w:r>
        <w:rPr>
          <w:rFonts w:hint="eastAsia" w:asciiTheme="minorEastAsia" w:hAnsiTheme="minorEastAsia" w:eastAsiaTheme="minorEastAsia" w:cstheme="minorEastAsia"/>
          <w:sz w:val="24"/>
          <w:szCs w:val="24"/>
          <w:lang w:val="en-US" w:eastAsia="zh-CN"/>
        </w:rPr>
        <w:t>验收报告编制单位</w:t>
      </w:r>
      <w:r>
        <w:rPr>
          <w:rFonts w:hint="eastAsia" w:asciiTheme="minorEastAsia" w:hAnsiTheme="minorEastAsia" w:eastAsiaTheme="minorEastAsia" w:cstheme="minorEastAsia"/>
          <w:sz w:val="24"/>
          <w:szCs w:val="24"/>
          <w:lang w:val="zh-CN"/>
        </w:rPr>
        <w:t>-济南天雨百禾植物营养技术有限公司、验收监测单位-</w:t>
      </w:r>
      <w:r>
        <w:rPr>
          <w:rFonts w:hint="eastAsia" w:asciiTheme="minorEastAsia" w:hAnsiTheme="minorEastAsia" w:eastAsiaTheme="minorEastAsia" w:cstheme="minorEastAsia"/>
          <w:sz w:val="24"/>
          <w:szCs w:val="24"/>
          <w:lang w:val="en-US" w:eastAsia="zh-CN"/>
        </w:rPr>
        <w:t>山东元正检测技术有限公司</w:t>
      </w:r>
      <w:r>
        <w:rPr>
          <w:rFonts w:hint="eastAsia" w:asciiTheme="minorEastAsia" w:hAnsiTheme="minorEastAsia" w:eastAsiaTheme="minorEastAsia" w:cstheme="minorEastAsia"/>
          <w:sz w:val="24"/>
          <w:szCs w:val="24"/>
          <w:lang w:val="zh-CN"/>
        </w:rPr>
        <w:t>及</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val="zh-CN"/>
        </w:rPr>
        <w:t>名技术专家组成（验收组人员名单</w:t>
      </w:r>
      <w:r>
        <w:rPr>
          <w:rFonts w:hint="eastAsia" w:asciiTheme="minorEastAsia" w:hAnsiTheme="minorEastAsia" w:eastAsiaTheme="minorEastAsia" w:cstheme="minorEastAsia"/>
          <w:sz w:val="24"/>
          <w:szCs w:val="24"/>
          <w:lang w:val="en-US" w:eastAsia="zh-CN"/>
        </w:rPr>
        <w:t>附后</w:t>
      </w:r>
      <w:r>
        <w:rPr>
          <w:rFonts w:hint="eastAsia" w:asciiTheme="minorEastAsia" w:hAnsiTheme="minorEastAsia" w:eastAsiaTheme="minorEastAsia" w:cstheme="minorEastAsia"/>
          <w:sz w:val="24"/>
          <w:szCs w:val="24"/>
          <w:lang w:val="zh-CN"/>
        </w:rPr>
        <w:t>）。</w:t>
      </w:r>
    </w:p>
    <w:p w14:paraId="3E8F8F23">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验收组踏勘了项目现场，听取了建设单位关于项目环保执行情况的介绍、验收监测报告编制单位关于项目竣工环境保护验收监测报告的汇报，听取了项目环保设施的建设、运行情况以及其他环境管理的工作落实情况，查阅了相关资料，对照《建设项目竣工环境保护验收暂行办法》，依照国家有关法律、法规、建设项目竣工环境保护验收技术规范及本项目环境影响报告书和审批部门审批意见等要求，经认真讨论和查阅资料，形成验收意见如下：</w:t>
      </w:r>
    </w:p>
    <w:p w14:paraId="36D53084">
      <w:pPr>
        <w:keepNext w:val="0"/>
        <w:keepLines w:val="0"/>
        <w:pageBreakBefore w:val="0"/>
        <w:numPr>
          <w:ilvl w:val="0"/>
          <w:numId w:val="0"/>
        </w:numPr>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一、</w:t>
      </w:r>
      <w:r>
        <w:rPr>
          <w:rFonts w:hint="eastAsia" w:asciiTheme="minorEastAsia" w:hAnsiTheme="minorEastAsia" w:eastAsiaTheme="minorEastAsia" w:cstheme="minorEastAsia"/>
          <w:b/>
          <w:bCs/>
          <w:sz w:val="24"/>
          <w:szCs w:val="24"/>
        </w:rPr>
        <w:t>工程建设基本情况</w:t>
      </w:r>
    </w:p>
    <w:p w14:paraId="610808A8">
      <w:pPr>
        <w:keepNext w:val="0"/>
        <w:keepLines w:val="0"/>
        <w:pageBreakBefore w:val="0"/>
        <w:numPr>
          <w:ilvl w:val="0"/>
          <w:numId w:val="1"/>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建设地点、规模、主要建设内容</w:t>
      </w:r>
    </w:p>
    <w:p w14:paraId="073614F1">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bidi="ar"/>
        </w:rPr>
        <w:t>项目位于</w:t>
      </w:r>
      <w:r>
        <w:rPr>
          <w:rFonts w:hint="eastAsia" w:asciiTheme="minorEastAsia" w:hAnsiTheme="minorEastAsia" w:eastAsiaTheme="minorEastAsia" w:cstheme="minorEastAsia"/>
          <w:sz w:val="24"/>
          <w:szCs w:val="24"/>
          <w:lang w:eastAsia="zh-CN" w:bidi="ar"/>
        </w:rPr>
        <w:t>济南市商河县韩庙镇济南市植保科技工业园</w:t>
      </w:r>
      <w:r>
        <w:rPr>
          <w:rFonts w:hint="eastAsia" w:asciiTheme="minorEastAsia" w:hAnsiTheme="minorEastAsia" w:eastAsiaTheme="minorEastAsia" w:cstheme="minorEastAsia"/>
          <w:sz w:val="24"/>
          <w:szCs w:val="24"/>
          <w:lang w:bidi="ar"/>
        </w:rPr>
        <w:t>，</w:t>
      </w:r>
      <w:r>
        <w:rPr>
          <w:rFonts w:hint="eastAsia" w:asciiTheme="minorEastAsia" w:hAnsiTheme="minorEastAsia" w:eastAsiaTheme="minorEastAsia" w:cstheme="minorEastAsia"/>
          <w:sz w:val="24"/>
          <w:szCs w:val="24"/>
          <w:lang w:eastAsia="zh-CN" w:bidi="ar"/>
        </w:rPr>
        <w:t>济南天雨百禾植物营养技术有限公司</w:t>
      </w:r>
      <w:r>
        <w:rPr>
          <w:rFonts w:hint="eastAsia" w:asciiTheme="minorEastAsia" w:hAnsiTheme="minorEastAsia" w:eastAsiaTheme="minorEastAsia" w:cstheme="minorEastAsia"/>
          <w:sz w:val="24"/>
          <w:szCs w:val="24"/>
          <w:lang w:bidi="ar"/>
        </w:rPr>
        <w:t>现有厂区内，经纬度：</w:t>
      </w:r>
      <w:r>
        <w:rPr>
          <w:rFonts w:hint="eastAsia" w:asciiTheme="minorEastAsia" w:hAnsiTheme="minorEastAsia" w:eastAsiaTheme="minorEastAsia" w:cstheme="minorEastAsia"/>
          <w:sz w:val="24"/>
          <w:szCs w:val="24"/>
        </w:rPr>
        <w:t>N：37度28分19.2秒，E：117度12分3.6秒</w:t>
      </w:r>
      <w:r>
        <w:rPr>
          <w:rFonts w:hint="eastAsia" w:asciiTheme="minorEastAsia" w:hAnsiTheme="minorEastAsia" w:eastAsiaTheme="minorEastAsia" w:cstheme="minorEastAsia"/>
          <w:sz w:val="24"/>
          <w:szCs w:val="24"/>
          <w:lang w:bidi="ar"/>
        </w:rPr>
        <w:t>。</w:t>
      </w:r>
      <w:r>
        <w:rPr>
          <w:rFonts w:hint="eastAsia" w:asciiTheme="minorEastAsia" w:hAnsiTheme="minorEastAsia" w:eastAsiaTheme="minorEastAsia" w:cstheme="minorEastAsia"/>
          <w:sz w:val="24"/>
          <w:szCs w:val="24"/>
          <w:lang w:val="en-US" w:eastAsia="zh-CN" w:bidi="ar"/>
        </w:rPr>
        <w:t>主要建设内容为：</w:t>
      </w:r>
      <w:r>
        <w:rPr>
          <w:rFonts w:hint="eastAsia" w:ascii="宋体" w:hAnsi="宋体" w:eastAsia="宋体" w:cs="宋体"/>
          <w:lang w:val="en-US" w:eastAsia="zh-CN"/>
        </w:rPr>
        <w:t>车间三全部生产设施及环保设施，车间二部分生产设备及环保设施，化验室</w:t>
      </w:r>
      <w:r>
        <w:rPr>
          <w:rFonts w:hint="eastAsia" w:asciiTheme="minorEastAsia" w:hAnsiTheme="minorEastAsia" w:eastAsiaTheme="minorEastAsia" w:cstheme="minorEastAsia"/>
          <w:sz w:val="24"/>
          <w:szCs w:val="24"/>
          <w:lang w:val="en-US" w:eastAsia="zh-CN" w:bidi="ar"/>
        </w:rPr>
        <w:t>。二期项目总生产规模为3300t/a，共6种产品。</w:t>
      </w:r>
      <w:r>
        <w:rPr>
          <w:rFonts w:hint="eastAsia" w:ascii="宋体" w:hAnsi="宋体" w:eastAsia="宋体" w:cs="宋体"/>
          <w:sz w:val="24"/>
          <w:szCs w:val="24"/>
          <w:lang w:val="en-US" w:eastAsia="zh-CN" w:bidi="ar"/>
        </w:rPr>
        <w:t>项目厂区定员72人，全年生产时间 200 天，生产岗位实行白班一班制，每班 8 小时，年工作 1600 小时</w:t>
      </w:r>
      <w:r>
        <w:rPr>
          <w:rFonts w:hint="eastAsia" w:asciiTheme="minorEastAsia" w:hAnsiTheme="minorEastAsia" w:eastAsiaTheme="minorEastAsia" w:cstheme="minorEastAsia"/>
          <w:sz w:val="24"/>
          <w:szCs w:val="24"/>
          <w:lang w:bidi="ar"/>
        </w:rPr>
        <w:t>。</w:t>
      </w:r>
    </w:p>
    <w:p w14:paraId="667625F2">
      <w:pPr>
        <w:keepNext w:val="0"/>
        <w:keepLines w:val="0"/>
        <w:pageBreakBefore w:val="0"/>
        <w:numPr>
          <w:ilvl w:val="0"/>
          <w:numId w:val="1"/>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建设过程及环保审批情况</w:t>
      </w:r>
    </w:p>
    <w:p w14:paraId="7CE16372">
      <w:pPr>
        <w:pStyle w:val="1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济南天雨百禾植物营养技术有限公司于</w:t>
      </w:r>
      <w:r>
        <w:rPr>
          <w:rFonts w:hint="eastAsia" w:ascii="宋体" w:hAnsi="宋体" w:eastAsia="宋体" w:cs="宋体"/>
          <w:lang w:val="en-US" w:eastAsia="zh-CN"/>
        </w:rPr>
        <w:t>2022年7月</w:t>
      </w:r>
      <w:r>
        <w:rPr>
          <w:rFonts w:hint="eastAsia" w:asciiTheme="minorEastAsia" w:hAnsiTheme="minorEastAsia" w:eastAsiaTheme="minorEastAsia" w:cstheme="minorEastAsia"/>
          <w:lang w:val="en-US" w:eastAsia="zh-CN"/>
        </w:rPr>
        <w:t>向济南市商河县行政审批服务局进行了“济南天雨百禾年产 56000 吨植物营养与保护制剂加工项目”的备案，并于同年</w:t>
      </w:r>
      <w:r>
        <w:rPr>
          <w:rFonts w:hint="eastAsia" w:ascii="宋体" w:hAnsi="宋体" w:eastAsia="宋体" w:cs="宋体"/>
          <w:lang w:val="en-US" w:eastAsia="zh-CN"/>
        </w:rPr>
        <w:t>7月2日</w:t>
      </w:r>
      <w:r>
        <w:rPr>
          <w:rFonts w:hint="eastAsia" w:asciiTheme="minorEastAsia" w:hAnsiTheme="minorEastAsia" w:eastAsiaTheme="minorEastAsia" w:cstheme="minorEastAsia"/>
          <w:lang w:val="en-US" w:eastAsia="zh-CN"/>
        </w:rPr>
        <w:t>，获得了备案证明，项目代码：</w:t>
      </w:r>
      <w:r>
        <w:rPr>
          <w:rFonts w:hint="eastAsia" w:ascii="宋体" w:hAnsi="宋体" w:eastAsia="宋体" w:cs="宋体"/>
          <w:lang w:val="en-US" w:eastAsia="zh-CN"/>
        </w:rPr>
        <w:t>2207-370126-07-02-912327</w:t>
      </w:r>
      <w:r>
        <w:rPr>
          <w:rFonts w:hint="eastAsia" w:asciiTheme="minorEastAsia" w:hAnsiTheme="minorEastAsia" w:eastAsiaTheme="minorEastAsia" w:cstheme="minorEastAsia"/>
          <w:lang w:val="en-US" w:eastAsia="zh-CN"/>
        </w:rPr>
        <w:t>。</w:t>
      </w:r>
    </w:p>
    <w:p w14:paraId="1B96CC29">
      <w:pPr>
        <w:pStyle w:val="12"/>
        <w:rPr>
          <w:rFonts w:hint="eastAsia" w:asciiTheme="minorEastAsia" w:hAnsiTheme="minorEastAsia" w:eastAsiaTheme="minorEastAsia" w:cstheme="minorEastAsia"/>
          <w:lang w:val="en-US" w:eastAsia="zh-CN"/>
        </w:rPr>
      </w:pPr>
      <w:r>
        <w:rPr>
          <w:rFonts w:hint="eastAsia" w:ascii="宋体" w:hAnsi="宋体" w:eastAsia="宋体" w:cs="宋体"/>
          <w:lang w:val="en-US" w:eastAsia="zh-CN"/>
        </w:rPr>
        <w:t>2023年11月，济南天雨百禾植物营养技术有限公司委托山东普旭富中节能环保科技有限公司进行《济南天雨百禾年产56000吨植物营养与保护制剂加工项目环境影响报告表》的编制工作。济南市生态环境局商河分局于2024年3月26日给予了批复，批复文号为：济商环报告表[2024]008号</w:t>
      </w:r>
      <w:r>
        <w:rPr>
          <w:rFonts w:hint="eastAsia" w:asciiTheme="minorEastAsia" w:hAnsiTheme="minorEastAsia" w:eastAsiaTheme="minorEastAsia" w:cstheme="minorEastAsia"/>
          <w:lang w:val="en-US" w:eastAsia="zh-CN"/>
        </w:rPr>
        <w:t>。</w:t>
      </w:r>
    </w:p>
    <w:p w14:paraId="15F0B30D">
      <w:pPr>
        <w:pStyle w:val="1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由于市场等原因，企业实行分期建设、分期验收。一期项目于2024年4月开工建设，2024年8月建设完成，项目运营调试前进行了排污许可证的申请，2024年11月19日申请通过，许可证编号:91370126582217911U001P。2024年9月投入运营调试，调试期间运行状况良好，具备竣工环境保护验收条件；一期建设项目于2025年5月通过自主验收。</w:t>
      </w:r>
    </w:p>
    <w:p w14:paraId="77A37FF8">
      <w:pPr>
        <w:pStyle w:val="1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二期项目于2025年12月开始建设，2026年7月建设完成，项目运营调试前对排污许可证进行了重新申请，2026年8月6日申请通过，许可证编号:91370126582217911U001P。</w:t>
      </w:r>
      <w:r>
        <w:rPr>
          <w:rFonts w:hint="eastAsia" w:ascii="宋体" w:hAnsi="宋体" w:eastAsia="宋体" w:cs="宋体"/>
          <w:lang w:val="en-US" w:eastAsia="zh-CN"/>
        </w:rPr>
        <w:t>二期项目于2026年8月7日投入运营调试，运营期间运行状况良好，具备竣工环境保护验收条件</w:t>
      </w:r>
      <w:r>
        <w:rPr>
          <w:rFonts w:hint="eastAsia" w:asciiTheme="minorEastAsia" w:hAnsiTheme="minorEastAsia" w:eastAsiaTheme="minorEastAsia" w:cstheme="minorEastAsia"/>
          <w:lang w:val="en-US" w:eastAsia="zh-CN"/>
        </w:rPr>
        <w:t>。</w:t>
      </w:r>
    </w:p>
    <w:p w14:paraId="01BF4782">
      <w:pPr>
        <w:keepNext w:val="0"/>
        <w:keepLines w:val="0"/>
        <w:pageBreakBefore w:val="0"/>
        <w:numPr>
          <w:ilvl w:val="0"/>
          <w:numId w:val="1"/>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投资情况</w:t>
      </w:r>
    </w:p>
    <w:p w14:paraId="5FD0028C">
      <w:pPr>
        <w:keepNext w:val="0"/>
        <w:keepLines w:val="0"/>
        <w:pageBreakBefore w:val="0"/>
        <w:kinsoku/>
        <w:overflowPunct/>
        <w:topLinePunct w:val="0"/>
        <w:bidi w:val="0"/>
        <w:spacing w:line="360" w:lineRule="auto"/>
        <w:ind w:firstLine="470" w:firstLineChars="19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本次验收</w:t>
      </w:r>
      <w:r>
        <w:rPr>
          <w:rFonts w:hint="eastAsia" w:asciiTheme="minorEastAsia" w:hAnsiTheme="minorEastAsia" w:eastAsiaTheme="minorEastAsia" w:cstheme="minorEastAsia"/>
          <w:sz w:val="24"/>
        </w:rPr>
        <w:t>项目实际总投资为</w:t>
      </w:r>
      <w:r>
        <w:rPr>
          <w:rFonts w:hint="eastAsia" w:asciiTheme="minorEastAsia" w:hAnsiTheme="minorEastAsia" w:eastAsiaTheme="minorEastAsia" w:cstheme="minorEastAsia"/>
          <w:sz w:val="24"/>
          <w:lang w:val="en-US" w:eastAsia="zh-CN"/>
        </w:rPr>
        <w:t>1000</w:t>
      </w:r>
      <w:r>
        <w:rPr>
          <w:rFonts w:hint="eastAsia" w:asciiTheme="minorEastAsia" w:hAnsiTheme="minorEastAsia" w:eastAsiaTheme="minorEastAsia" w:cstheme="minorEastAsia"/>
          <w:sz w:val="24"/>
        </w:rPr>
        <w:t>万元，实际环保投资为</w:t>
      </w:r>
      <w:r>
        <w:rPr>
          <w:rFonts w:hint="eastAsia" w:asciiTheme="minorEastAsia" w:hAnsiTheme="minorEastAsia" w:eastAsiaTheme="minorEastAsia" w:cstheme="minorEastAsia"/>
          <w:sz w:val="24"/>
          <w:lang w:val="en-US" w:eastAsia="zh-CN"/>
        </w:rPr>
        <w:t>30</w:t>
      </w:r>
      <w:r>
        <w:rPr>
          <w:rFonts w:hint="eastAsia" w:asciiTheme="minorEastAsia" w:hAnsiTheme="minorEastAsia" w:eastAsiaTheme="minorEastAsia" w:cstheme="minorEastAsia"/>
          <w:sz w:val="24"/>
        </w:rPr>
        <w:t>万，占总投资的</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w:t>
      </w:r>
    </w:p>
    <w:p w14:paraId="636B1751">
      <w:pPr>
        <w:keepNext w:val="0"/>
        <w:keepLines w:val="0"/>
        <w:pageBreakBefore w:val="0"/>
        <w:numPr>
          <w:ilvl w:val="0"/>
          <w:numId w:val="1"/>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验收范围</w:t>
      </w:r>
    </w:p>
    <w:p w14:paraId="352FD57C">
      <w:pPr>
        <w:pStyle w:val="1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1、主体工程和辅助公用工程内容；</w:t>
      </w:r>
    </w:p>
    <w:p w14:paraId="5CAFB3A2">
      <w:pPr>
        <w:pStyle w:val="1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2、废水：</w:t>
      </w:r>
      <w:r>
        <w:rPr>
          <w:rFonts w:hint="eastAsia" w:asciiTheme="minorEastAsia" w:hAnsiTheme="minorEastAsia" w:eastAsiaTheme="minorEastAsia" w:cstheme="minorEastAsia"/>
          <w:szCs w:val="24"/>
          <w:lang w:val="en-US" w:eastAsia="zh-CN"/>
        </w:rPr>
        <w:t>生产废水及生活污水的</w:t>
      </w:r>
      <w:r>
        <w:rPr>
          <w:rFonts w:hint="eastAsia" w:asciiTheme="minorEastAsia" w:hAnsiTheme="minorEastAsia" w:eastAsiaTheme="minorEastAsia" w:cstheme="minorEastAsia"/>
          <w:szCs w:val="24"/>
        </w:rPr>
        <w:t>处理及排放情况；</w:t>
      </w:r>
    </w:p>
    <w:p w14:paraId="48734BAD">
      <w:pPr>
        <w:pStyle w:val="1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3、废气：环保设施及污染物排放达标情况；</w:t>
      </w:r>
    </w:p>
    <w:p w14:paraId="524181A7">
      <w:pPr>
        <w:pStyle w:val="1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4、噪声：治理措施及厂界达标情况；</w:t>
      </w:r>
    </w:p>
    <w:p w14:paraId="02E210D0">
      <w:pPr>
        <w:pStyle w:val="1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lang w:eastAsia="zh-CN"/>
        </w:rPr>
      </w:pPr>
      <w:r>
        <w:rPr>
          <w:rFonts w:hint="eastAsia" w:asciiTheme="minorEastAsia" w:hAnsiTheme="minorEastAsia" w:eastAsiaTheme="minorEastAsia" w:cstheme="minorEastAsia"/>
          <w:szCs w:val="24"/>
        </w:rPr>
        <w:t>5、固废：处理处置措施</w:t>
      </w:r>
      <w:r>
        <w:rPr>
          <w:rFonts w:hint="eastAsia" w:asciiTheme="minorEastAsia" w:hAnsiTheme="minorEastAsia" w:eastAsiaTheme="minorEastAsia" w:cstheme="minorEastAsia"/>
          <w:szCs w:val="24"/>
          <w:lang w:eastAsia="zh-CN"/>
        </w:rPr>
        <w:t>；</w:t>
      </w:r>
    </w:p>
    <w:p w14:paraId="0E313A02">
      <w:pPr>
        <w:keepNext w:val="0"/>
        <w:keepLines w:val="0"/>
        <w:pageBreakBefore w:val="0"/>
        <w:numPr>
          <w:ilvl w:val="0"/>
          <w:numId w:val="0"/>
        </w:numPr>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二、</w:t>
      </w:r>
      <w:r>
        <w:rPr>
          <w:rFonts w:hint="eastAsia" w:asciiTheme="minorEastAsia" w:hAnsiTheme="minorEastAsia" w:eastAsiaTheme="minorEastAsia" w:cstheme="minorEastAsia"/>
          <w:b/>
          <w:bCs/>
          <w:sz w:val="24"/>
          <w:szCs w:val="24"/>
        </w:rPr>
        <w:t>工程变动情况</w:t>
      </w:r>
    </w:p>
    <w:p w14:paraId="1B0718B1">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28"/>
          <w:sz w:val="24"/>
        </w:rPr>
      </w:pPr>
      <w:bookmarkStart w:id="0" w:name="_Toc19805_WPSOffice_Level3"/>
      <w:r>
        <w:rPr>
          <w:rFonts w:hint="eastAsia" w:asciiTheme="minorEastAsia" w:hAnsiTheme="minorEastAsia" w:eastAsiaTheme="minorEastAsia" w:cstheme="minorEastAsia"/>
          <w:kern w:val="28"/>
          <w:sz w:val="24"/>
          <w:lang w:val="en-US" w:eastAsia="zh-CN"/>
        </w:rPr>
        <w:t>项目变动情况说明</w:t>
      </w:r>
      <w:r>
        <w:rPr>
          <w:rFonts w:hint="eastAsia" w:asciiTheme="minorEastAsia" w:hAnsiTheme="minorEastAsia" w:eastAsiaTheme="minorEastAsia" w:cstheme="minorEastAsia"/>
          <w:kern w:val="28"/>
          <w:sz w:val="24"/>
        </w:rPr>
        <w:t>。</w:t>
      </w:r>
    </w:p>
    <w:p w14:paraId="5B824896">
      <w:pPr>
        <w:pStyle w:val="12"/>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kern w:val="2"/>
          <w:sz w:val="24"/>
          <w:szCs w:val="24"/>
          <w:highlight w:val="none"/>
          <w:lang w:val="en-US" w:eastAsia="zh-CN" w:bidi="ar-SA"/>
        </w:rPr>
        <w:t>项目实际建设情况与环评建设内容相对比，</w:t>
      </w:r>
      <w:r>
        <w:rPr>
          <w:rFonts w:hint="eastAsia" w:asciiTheme="minorEastAsia" w:hAnsiTheme="minorEastAsia" w:eastAsiaTheme="minorEastAsia" w:cstheme="minorEastAsia"/>
          <w:sz w:val="24"/>
          <w:szCs w:val="24"/>
          <w:highlight w:val="none"/>
        </w:rPr>
        <w:t>未发生重大变更</w:t>
      </w:r>
      <w:r>
        <w:rPr>
          <w:rFonts w:hint="eastAsia" w:asciiTheme="minorEastAsia" w:hAnsiTheme="minorEastAsia" w:eastAsiaTheme="minorEastAsia" w:cstheme="minorEastAsia"/>
          <w:sz w:val="24"/>
          <w:szCs w:val="24"/>
          <w:highlight w:val="none"/>
          <w:lang w:eastAsia="zh-CN"/>
        </w:rPr>
        <w:t>。</w:t>
      </w:r>
      <w:bookmarkEnd w:id="0"/>
    </w:p>
    <w:p w14:paraId="3AE04A9B">
      <w:pPr>
        <w:keepNext w:val="0"/>
        <w:keepLines w:val="0"/>
        <w:pageBreakBefore w:val="0"/>
        <w:numPr>
          <w:ilvl w:val="0"/>
          <w:numId w:val="0"/>
        </w:numPr>
        <w:kinsoku/>
        <w:overflowPunct/>
        <w:topLinePunct w:val="0"/>
        <w:bidi w:val="0"/>
        <w:spacing w:line="360" w:lineRule="auto"/>
        <w:ind w:left="0" w:leftChars="0" w:firstLine="0" w:firstLineChars="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rPr>
        <w:t>环境保护设施建设情况</w:t>
      </w:r>
    </w:p>
    <w:p w14:paraId="282ABA72">
      <w:pPr>
        <w:pStyle w:val="12"/>
        <w:bidi w:val="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验收监测期间，项目生产工况稳定，平均生产负荷91.14%，监测结果能作为该项目竣工环境保护验收依据。</w:t>
      </w:r>
    </w:p>
    <w:p w14:paraId="2C025DFD">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（一）废水</w:t>
      </w:r>
    </w:p>
    <w:p w14:paraId="59BAB9C9">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项目废水主要为地面清洁废水、水膜除尘废水、实验室清洗废水、浓盐水及生活污水。废水的主要污染因子为：pH、SS、CODCr、BOD5、氨氮、TP、TN、石油类、色度、全盐量等。</w:t>
      </w:r>
    </w:p>
    <w:p w14:paraId="558815CD">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项目运营期间循环冷却水、化料池用水循环使用，仅补充损耗，不外排。工艺用水直接进入产品或损耗。设备清洗废水经专用容器收集后，回用于下批次同产品生产用水。</w:t>
      </w:r>
    </w:p>
    <w:p w14:paraId="200ABCDA">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lang w:val="en-US" w:eastAsia="zh-CN"/>
        </w:rPr>
        <w:t>实验器皿二次后清洗废水、地面清洁废水、水膜除尘废水、浓盐水及经经化粪池处理后的生活污水一同进入厂区污水站处理，满足《污水综合排放标准》(GB 8978-1996)三级标准及园区污水处理厂进水水质要求后，通过园区污水管网排入济南市植保科技工业园园区污水处理站（山东焱农生物科技有限公司污水站），经处理后排入改碱河，最终汇入德惠新河</w:t>
      </w:r>
      <w:r>
        <w:rPr>
          <w:rFonts w:hint="eastAsia" w:asciiTheme="minorEastAsia" w:hAnsiTheme="minorEastAsia" w:eastAsiaTheme="minorEastAsia" w:cstheme="minorEastAsia"/>
          <w:sz w:val="24"/>
          <w:szCs w:val="24"/>
          <w:lang w:bidi="ar"/>
        </w:rPr>
        <w:t>。</w:t>
      </w:r>
    </w:p>
    <w:p w14:paraId="3875A0D4">
      <w:pPr>
        <w:keepNext w:val="0"/>
        <w:keepLines w:val="0"/>
        <w:pageBreakBefore w:val="0"/>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（二）废气</w:t>
      </w:r>
    </w:p>
    <w:p w14:paraId="770AD3C0">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1.有组织废气：①二号车间圆盘造粒废气：废气主要为投料混合、圆盘造粒、气流粉碎等生产过程中产生，污染因子为颗粒物。</w:t>
      </w:r>
    </w:p>
    <w:p w14:paraId="39B35CF3">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②三号车间废气：废气主要为固体物料投料混合，物料釜、沉降槽、计量罐放空及灌装过程中产生，污染因子为颗粒物、二甲苯、VOCs。</w:t>
      </w:r>
    </w:p>
    <w:p w14:paraId="50890508">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③化验室废气：废气主要为实验室检测过程中，挥发性试剂（甲醇、乙腈、正己烷、丙酮、三氯甲烷）取用、配制过程中产生，污染因子主要为 VOCs ；</w:t>
      </w:r>
    </w:p>
    <w:p w14:paraId="1F99ECDB">
      <w:pPr>
        <w:pStyle w:val="12"/>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2.无组织废气：</w:t>
      </w:r>
      <w:r>
        <w:rPr>
          <w:rFonts w:hint="eastAsia" w:ascii="宋体" w:hAnsi="宋体" w:eastAsia="宋体" w:cs="宋体"/>
          <w:color w:val="000000" w:themeColor="text1"/>
          <w:lang w:val="en-US" w:eastAsia="zh-CN"/>
          <w14:textFill>
            <w14:solidFill>
              <w14:schemeClr w14:val="tx1"/>
            </w14:solidFill>
          </w14:textFill>
        </w:rPr>
        <w:t>主要为逸散粉尘废气、跑冒滴漏VOCs废气、物料暂存废气及生产过程中未被收集的废气，污染因子主要为颗粒物、VOCs、二甲苯、臭气浓度、氨气、硫化氢，通过加强车间通风换气后无组织排放</w:t>
      </w:r>
      <w:r>
        <w:rPr>
          <w:rFonts w:hint="eastAsia" w:asciiTheme="minorEastAsia" w:hAnsiTheme="minorEastAsia" w:eastAsiaTheme="minorEastAsia" w:cstheme="minorEastAsia"/>
          <w:lang w:val="en-US" w:eastAsia="zh-CN"/>
        </w:rPr>
        <w:t>。</w:t>
      </w:r>
    </w:p>
    <w:p w14:paraId="3F5472A6">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（三）噪声</w:t>
      </w:r>
    </w:p>
    <w:p w14:paraId="75732CFE">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2"/>
        </w:rPr>
      </w:pPr>
      <w:r>
        <w:rPr>
          <w:rFonts w:hint="eastAsia" w:ascii="宋体" w:hAnsi="宋体" w:eastAsia="宋体" w:cs="宋体"/>
          <w:b w:val="0"/>
          <w:bCs w:val="0"/>
          <w:lang w:val="en-US" w:eastAsia="zh-CN"/>
        </w:rPr>
        <w:t>验收项目</w:t>
      </w:r>
      <w:r>
        <w:rPr>
          <w:rFonts w:hint="eastAsia" w:ascii="宋体" w:hAnsi="宋体" w:eastAsia="宋体" w:cs="宋体"/>
          <w:b w:val="0"/>
          <w:bCs w:val="0"/>
          <w:color w:val="000000" w:themeColor="text1"/>
          <w14:textFill>
            <w14:solidFill>
              <w14:schemeClr w14:val="tx1"/>
            </w14:solidFill>
          </w14:textFill>
        </w:rPr>
        <w:t>营运期间噪声源主要源于</w:t>
      </w:r>
      <w:r>
        <w:rPr>
          <w:rFonts w:hint="eastAsia" w:ascii="宋体" w:hAnsi="宋体" w:eastAsia="宋体" w:cs="宋体"/>
          <w:b w:val="0"/>
          <w:bCs w:val="0"/>
          <w:color w:val="000000" w:themeColor="text1"/>
          <w:lang w:val="en-US" w:eastAsia="zh-CN"/>
          <w14:textFill>
            <w14:solidFill>
              <w14:schemeClr w14:val="tx1"/>
            </w14:solidFill>
          </w14:textFill>
        </w:rPr>
        <w:t>生产设备运转噪声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，其声压级为 60～80dB(A) 。通过对设备进行厂房建筑隔声、设置减振基础等降噪措施处理后达标排放</w:t>
      </w:r>
      <w:r>
        <w:rPr>
          <w:rFonts w:hint="eastAsia" w:asciiTheme="minorEastAsia" w:hAnsiTheme="minorEastAsia" w:eastAsiaTheme="minorEastAsia" w:cstheme="minorEastAsia"/>
          <w:sz w:val="24"/>
          <w:lang w:bidi="ar"/>
        </w:rPr>
        <w:t>。</w:t>
      </w:r>
    </w:p>
    <w:p w14:paraId="13AE8BD8">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（四）固废</w:t>
      </w:r>
    </w:p>
    <w:p w14:paraId="4473EE73">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本项目产生的固废分为生活垃圾、一般固废及危险废物。</w:t>
      </w:r>
    </w:p>
    <w:p w14:paraId="0922815C">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生活垃圾经收集后，在厂区各处垃圾桶暂存。</w:t>
      </w:r>
    </w:p>
    <w:p w14:paraId="721EEF31">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①生活垃圾经收集后，由环卫部门定期清运；</w:t>
      </w:r>
    </w:p>
    <w:p w14:paraId="6799809A">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②一般固废：未沾染药物的废包装材料经收集后外售；废反渗透膜由厂家回收；</w:t>
      </w:r>
    </w:p>
    <w:p w14:paraId="13060D30">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③危险废物：除尘系统收集的粉尘直接回用；沉渣、废油、沾染有毒有害物质的废包装物、污水站污泥、实验室废物、废活性炭、废润滑油包装桶、水膜除尘器废渣暂存危废间，委托持危废经营许可证的单位处置。</w:t>
      </w:r>
    </w:p>
    <w:p w14:paraId="1A0900A4">
      <w:pPr>
        <w:keepNext w:val="0"/>
        <w:keepLines w:val="0"/>
        <w:pageBreakBefore w:val="0"/>
        <w:numPr>
          <w:ilvl w:val="0"/>
          <w:numId w:val="0"/>
        </w:numPr>
        <w:kinsoku/>
        <w:overflowPunct/>
        <w:topLinePunct w:val="0"/>
        <w:bidi w:val="0"/>
        <w:spacing w:line="360" w:lineRule="auto"/>
        <w:ind w:left="0" w:leftChars="0" w:firstLine="0" w:firstLineChars="0"/>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四、环境保护设施调试效果和项目建设对环境的影响</w:t>
      </w:r>
    </w:p>
    <w:p w14:paraId="32FFE7BF">
      <w:pPr>
        <w:pStyle w:val="12"/>
        <w:bidi w:val="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验收监测期间，项目生产工况稳定，平均生产负荷91.14%，监测结果能作为该项目竣工环境保护验收依据。</w:t>
      </w:r>
    </w:p>
    <w:p w14:paraId="2FA2BC86">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（一）环保设施处理效率</w:t>
      </w:r>
    </w:p>
    <w:p w14:paraId="76E94827">
      <w:pPr>
        <w:pStyle w:val="12"/>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废水治理设施</w:t>
      </w:r>
    </w:p>
    <w:p w14:paraId="1685CA1E">
      <w:pPr>
        <w:pStyle w:val="12"/>
        <w:bidi w:val="0"/>
        <w:rPr>
          <w:rFonts w:hint="eastAsia" w:asciiTheme="minorEastAsia" w:hAnsiTheme="minorEastAsia" w:eastAsiaTheme="minorEastAsia" w:cstheme="minorEastAsia"/>
          <w:lang w:val="en-US" w:eastAsia="zh-CN"/>
        </w:rPr>
      </w:pPr>
      <w:r>
        <w:rPr>
          <w:rFonts w:hint="eastAsia"/>
          <w:lang w:val="en-US" w:eastAsia="zh-CN"/>
        </w:rPr>
        <w:t>验收监测期间，废水经过污水处理站处理后，pH值范围为7.2~7.3。其他污染因子的治理效率分别为：悬浮物：17.11%、化学需氧量：25.71%</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氨氮：72.6%、</w:t>
      </w:r>
      <w:r>
        <w:rPr>
          <w:rFonts w:hint="eastAsia"/>
          <w:lang w:val="en-US" w:eastAsia="zh-CN"/>
        </w:rPr>
        <w:tab/>
      </w:r>
      <w:r>
        <w:rPr>
          <w:rFonts w:hint="eastAsia"/>
          <w:lang w:val="en-US" w:eastAsia="zh-CN"/>
        </w:rPr>
        <w:t>总氮</w:t>
      </w:r>
      <w:r>
        <w:rPr>
          <w:rFonts w:hint="eastAsia"/>
          <w:lang w:val="en-US" w:eastAsia="zh-CN"/>
        </w:rPr>
        <w:tab/>
      </w:r>
      <w:r>
        <w:rPr>
          <w:rFonts w:hint="eastAsia"/>
          <w:lang w:val="en-US" w:eastAsia="zh-CN"/>
        </w:rPr>
        <w:tab/>
      </w:r>
      <w:r>
        <w:rPr>
          <w:rFonts w:hint="eastAsia"/>
          <w:lang w:val="en-US" w:eastAsia="zh-CN"/>
        </w:rPr>
        <w:t>：77.12%、五日生化需氧量</w:t>
      </w:r>
      <w:r>
        <w:rPr>
          <w:rFonts w:hint="eastAsia"/>
          <w:lang w:val="en-US" w:eastAsia="zh-CN"/>
        </w:rPr>
        <w:tab/>
      </w:r>
      <w:r>
        <w:rPr>
          <w:rFonts w:hint="eastAsia"/>
          <w:lang w:val="en-US" w:eastAsia="zh-CN"/>
        </w:rPr>
        <w:t>：25.88</w:t>
      </w:r>
      <w:r>
        <w:rPr>
          <w:rFonts w:hint="eastAsia"/>
          <w:lang w:val="en-US" w:eastAsia="zh-CN"/>
        </w:rPr>
        <w:tab/>
      </w:r>
      <w:r>
        <w:rPr>
          <w:rFonts w:hint="eastAsia"/>
          <w:lang w:val="en-US" w:eastAsia="zh-CN"/>
        </w:rPr>
        <w:t>%、总磷</w:t>
      </w:r>
      <w:r>
        <w:rPr>
          <w:rFonts w:hint="eastAsia"/>
          <w:lang w:val="en-US" w:eastAsia="zh-CN"/>
        </w:rPr>
        <w:tab/>
      </w:r>
      <w:r>
        <w:rPr>
          <w:rFonts w:hint="eastAsia"/>
          <w:lang w:val="en-US" w:eastAsia="zh-CN"/>
        </w:rPr>
        <w:t>：66.89%、石油类</w:t>
      </w:r>
      <w:r>
        <w:rPr>
          <w:rFonts w:hint="eastAsia"/>
          <w:lang w:val="en-US" w:eastAsia="zh-CN"/>
        </w:rPr>
        <w:tab/>
      </w:r>
      <w:r>
        <w:rPr>
          <w:rFonts w:hint="eastAsia"/>
          <w:lang w:val="en-US" w:eastAsia="zh-CN"/>
        </w:rPr>
        <w:t>：28.25</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全盐量：23.57%</w:t>
      </w:r>
      <w:r>
        <w:rPr>
          <w:rFonts w:hint="eastAsia" w:asciiTheme="minorEastAsia" w:hAnsiTheme="minorEastAsia" w:eastAsiaTheme="minorEastAsia" w:cstheme="minorEastAsia"/>
          <w:lang w:val="en-US" w:eastAsia="zh-CN"/>
        </w:rPr>
        <w:t>。</w:t>
      </w:r>
    </w:p>
    <w:p w14:paraId="7BFB350E">
      <w:pPr>
        <w:pStyle w:val="12"/>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废气治理设施</w:t>
      </w:r>
    </w:p>
    <w:p w14:paraId="032CE77A">
      <w:pPr>
        <w:pStyle w:val="12"/>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①2#车间有组织废气经过“布袋除尘器”（TA017）设施治理后，污染因子的治理效率分别为：颗粒物：63.56%。</w:t>
      </w:r>
    </w:p>
    <w:p w14:paraId="6DE1E8EE">
      <w:pPr>
        <w:pStyle w:val="12"/>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②3#车间有组织废气经过“布袋除尘器+二级活性炭吸附装置”（TA014）设施治理后，污染因子的治理效率分别为：颗粒物：53.28%,因VOCs及二甲苯未检出，故无法计算治理效率。</w:t>
      </w:r>
    </w:p>
    <w:p w14:paraId="689A88B5">
      <w:pPr>
        <w:pStyle w:val="12"/>
        <w:bidi w:val="0"/>
        <w:rPr>
          <w:rFonts w:hint="eastAsia" w:asciiTheme="minorEastAsia" w:hAnsiTheme="minorEastAsia" w:eastAsiaTheme="minorEastAsia" w:cstheme="minorEastAsia"/>
          <w:lang w:val="en-US"/>
        </w:rPr>
      </w:pPr>
      <w:r>
        <w:rPr>
          <w:rFonts w:hint="eastAsia" w:asciiTheme="minorEastAsia" w:hAnsiTheme="minorEastAsia" w:eastAsiaTheme="minorEastAsia" w:cstheme="minorEastAsia"/>
          <w:lang w:val="en-US" w:eastAsia="zh-CN"/>
        </w:rPr>
        <w:t>③质检过程有组织废气经过“二级活性炭吸附装置”（TA016）设施治理后，污染因子的治理效率分别为：因VOCs未检出，故无法计算治理效率。</w:t>
      </w:r>
    </w:p>
    <w:p w14:paraId="0D89E79F">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 污染物排放情况</w:t>
      </w:r>
    </w:p>
    <w:p w14:paraId="0336340B">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w:t>
      </w:r>
      <w:r>
        <w:rPr>
          <w:rFonts w:hint="eastAsia" w:asciiTheme="minorEastAsia" w:hAnsiTheme="minorEastAsia" w:eastAsiaTheme="minorEastAsia" w:cstheme="minorEastAsia"/>
          <w:kern w:val="0"/>
          <w:sz w:val="24"/>
          <w:lang w:val="en-US" w:eastAsia="zh-CN"/>
        </w:rPr>
        <w:t>.</w:t>
      </w:r>
      <w:r>
        <w:rPr>
          <w:rFonts w:hint="eastAsia" w:asciiTheme="minorEastAsia" w:hAnsiTheme="minorEastAsia" w:eastAsiaTheme="minorEastAsia" w:cstheme="minorEastAsia"/>
          <w:kern w:val="0"/>
          <w:sz w:val="24"/>
        </w:rPr>
        <w:t>废水</w:t>
      </w:r>
    </w:p>
    <w:p w14:paraId="39BB1A59">
      <w:pPr>
        <w:widowControl/>
        <w:shd w:val="clear" w:color="auto" w:fill="auto"/>
        <w:tabs>
          <w:tab w:val="left" w:pos="540"/>
        </w:tabs>
        <w:spacing w:line="360" w:lineRule="auto"/>
        <w:ind w:firstLine="48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验收监测期间，企业废水排放总口的外排废水pH值范围为7.2~7.3。其他污染因子的最大排放浓度分别为：悬浮物：9mg/L、化学需氧量：41mg/L、氨氮：7.65mg/L、总氮：10.5mg/L、五日生化需氧量：9.8mg/L、总磷：0.195mg/L、石油类：2.11mg/L、色度50倍、全盐量：1163mg/L。</w:t>
      </w:r>
    </w:p>
    <w:p w14:paraId="1444A63D">
      <w:pPr>
        <w:widowControl/>
        <w:shd w:val="clear" w:color="auto" w:fill="auto"/>
        <w:tabs>
          <w:tab w:val="left" w:pos="540"/>
        </w:tabs>
        <w:spacing w:line="360" w:lineRule="auto"/>
        <w:ind w:firstLine="480" w:firstLineChars="200"/>
        <w:jc w:val="both"/>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rPr>
        <w:t>根据检测数据，验收监测期间，企业废水满足《污水综合排放标准》(GB 8978-1996)三级标准及园区污水处理厂进水水质要求，对周边环境影响较小</w:t>
      </w:r>
      <w:r>
        <w:rPr>
          <w:rFonts w:hint="eastAsia" w:asciiTheme="minorEastAsia" w:hAnsiTheme="minorEastAsia" w:eastAsiaTheme="minorEastAsia" w:cstheme="minorEastAsia"/>
          <w:color w:val="000000"/>
          <w:kern w:val="0"/>
          <w:sz w:val="24"/>
          <w:szCs w:val="24"/>
          <w:lang w:val="en-US" w:eastAsia="zh-CN" w:bidi="ar"/>
        </w:rPr>
        <w:t>。</w:t>
      </w:r>
    </w:p>
    <w:p w14:paraId="49B88696">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w:t>
      </w:r>
      <w:r>
        <w:rPr>
          <w:rFonts w:hint="eastAsia" w:asciiTheme="minorEastAsia" w:hAnsiTheme="minorEastAsia" w:eastAsiaTheme="minorEastAsia" w:cstheme="minorEastAsia"/>
          <w:kern w:val="0"/>
          <w:sz w:val="24"/>
          <w:lang w:val="en-US" w:eastAsia="zh-CN"/>
        </w:rPr>
        <w:t>.</w:t>
      </w:r>
      <w:r>
        <w:rPr>
          <w:rFonts w:hint="eastAsia" w:asciiTheme="minorEastAsia" w:hAnsiTheme="minorEastAsia" w:eastAsiaTheme="minorEastAsia" w:cstheme="minorEastAsia"/>
          <w:kern w:val="0"/>
          <w:sz w:val="24"/>
        </w:rPr>
        <w:t>废气</w:t>
      </w:r>
    </w:p>
    <w:p w14:paraId="6EB8F4CC">
      <w:pPr>
        <w:bidi w:val="0"/>
        <w:rPr>
          <w:rFonts w:hint="eastAsia" w:ascii="宋体" w:hAnsi="宋体" w:eastAsia="宋体" w:cs="宋体"/>
          <w:lang w:val="en-US" w:eastAsia="zh-CN"/>
        </w:rPr>
      </w:pPr>
      <w:r>
        <w:rPr>
          <w:rFonts w:hint="eastAsia" w:asciiTheme="minorEastAsia" w:hAnsiTheme="minorEastAsia" w:eastAsiaTheme="minorEastAsia" w:cstheme="minorEastAsia"/>
          <w:kern w:val="2"/>
          <w:sz w:val="24"/>
          <w:lang w:val="en-US" w:eastAsia="zh-CN" w:bidi="ar-SA"/>
        </w:rPr>
        <w:t>(1)有组织排放：</w:t>
      </w:r>
      <w:r>
        <w:rPr>
          <w:rFonts w:hint="eastAsia" w:asciiTheme="minorEastAsia" w:hAnsiTheme="minorEastAsia" w:eastAsiaTheme="minorEastAsia" w:cstheme="minorEastAsia"/>
          <w:lang w:val="en-US" w:eastAsia="zh-CN"/>
        </w:rPr>
        <w:t>验收监测期间，</w:t>
      </w:r>
      <w:r>
        <w:rPr>
          <w:rFonts w:hint="eastAsia" w:ascii="宋体" w:hAnsi="宋体" w:eastAsia="宋体" w:cs="宋体"/>
          <w:lang w:val="en-US" w:eastAsia="zh-CN"/>
        </w:rPr>
        <w:t>DA009排放口颗粒物排放浓度：3.8mg/m³，按照生产负荷折算后排放浓度为：4.17mg/m³（生产负荷91.14%）；颗粒物排放速率：0.026kg/h。</w:t>
      </w:r>
    </w:p>
    <w:p w14:paraId="4270EA85">
      <w:pPr>
        <w:bidi w:val="0"/>
        <w:rPr>
          <w:rFonts w:hint="eastAsia" w:ascii="宋体" w:hAnsi="宋体" w:eastAsia="宋体" w:cs="宋体"/>
          <w:lang w:val="en-US" w:eastAsia="zh-CN"/>
        </w:rPr>
      </w:pPr>
      <w:r>
        <w:rPr>
          <w:rFonts w:hint="eastAsia" w:ascii="宋体" w:hAnsi="宋体" w:eastAsia="宋体" w:cs="宋体"/>
          <w:lang w:val="en-US" w:eastAsia="zh-CN"/>
        </w:rPr>
        <w:t>DA007排放口颗粒物排放浓度：3.8mg/m³，按照生产负荷折算后排放浓度为：4.17mg/m³（生产负荷91.14%）；颗粒物排放速率：0.015 kg/h。</w:t>
      </w:r>
    </w:p>
    <w:p w14:paraId="025053F1">
      <w:pPr>
        <w:bidi w:val="0"/>
        <w:rPr>
          <w:rFonts w:hint="eastAsia" w:asciiTheme="minorEastAsia" w:hAnsiTheme="minorEastAsia" w:eastAsiaTheme="minorEastAsia" w:cstheme="minorEastAsia"/>
          <w:lang w:val="en-US" w:eastAsia="zh-CN"/>
        </w:rPr>
      </w:pPr>
      <w:r>
        <w:rPr>
          <w:rFonts w:hint="eastAsia" w:ascii="宋体" w:hAnsi="宋体" w:eastAsia="宋体" w:cs="宋体"/>
          <w:lang w:val="en-US" w:eastAsia="zh-CN"/>
        </w:rPr>
        <w:t>二甲苯未检出、VOC未检出</w:t>
      </w:r>
      <w:r>
        <w:rPr>
          <w:rFonts w:hint="eastAsia" w:asciiTheme="minorEastAsia" w:hAnsiTheme="minorEastAsia" w:eastAsiaTheme="minorEastAsia" w:cstheme="minorEastAsia"/>
          <w:lang w:val="en-US" w:eastAsia="zh-CN"/>
        </w:rPr>
        <w:t>。</w:t>
      </w:r>
    </w:p>
    <w:p w14:paraId="2321E797">
      <w:pPr>
        <w:jc w:val="both"/>
        <w:rPr>
          <w:rFonts w:hint="eastAsia" w:ascii="宋体" w:hAnsi="宋体" w:eastAsia="宋体" w:cs="宋体"/>
          <w:lang w:val="en-US" w:eastAsia="zh-CN"/>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综上所述，</w:t>
      </w:r>
      <w:r>
        <w:rPr>
          <w:rFonts w:hint="eastAsia" w:ascii="宋体" w:hAnsi="宋体" w:eastAsia="宋体" w:cs="宋体"/>
          <w:lang w:val="en-US" w:eastAsia="zh-CN"/>
        </w:rPr>
        <w:t>颗粒物排放浓度满足《区域性大气污染物综合排放标准》( DB37/2376-2019)  表1中重点控制区排放限值要求，排放速率满足《大气污染物综合排放标准》 (GB16297-1996)表2排放限制要求。(颗粒物排放浓度限值10 mg/m³，排放速率限值3.5 kh/h)。</w:t>
      </w:r>
    </w:p>
    <w:p w14:paraId="7207ECD5">
      <w:pPr>
        <w:jc w:val="both"/>
        <w:rPr>
          <w:rFonts w:hint="eastAsia" w:ascii="宋体" w:hAnsi="宋体" w:eastAsia="宋体" w:cs="宋体"/>
          <w:lang w:val="en-US" w:eastAsia="zh-CN"/>
        </w:rPr>
      </w:pPr>
      <w:r>
        <w:rPr>
          <w:rFonts w:hint="eastAsia" w:ascii="宋体" w:hAnsi="宋体" w:eastAsia="宋体" w:cs="宋体"/>
          <w:lang w:val="en-US" w:eastAsia="zh-CN"/>
        </w:rPr>
        <w:t>二甲苯排放浓度和排放速率满足《挥发性有机物排放标准 第6部分：有机化工行业》(DB37/2801.6-2018)表1Ⅱ时段排放限值要求；(其中二甲苯排放浓度限值8 mg/m³，排放速率限值0.3 kh/h)。</w:t>
      </w:r>
    </w:p>
    <w:p w14:paraId="2F75EE0D">
      <w:pPr>
        <w:jc w:val="both"/>
        <w:rPr>
          <w:rFonts w:hint="eastAsia" w:asciiTheme="minorEastAsia" w:hAnsiTheme="minorEastAsia" w:eastAsiaTheme="minorEastAsia" w:cstheme="minorEastAsia"/>
          <w:kern w:val="2"/>
          <w:sz w:val="24"/>
          <w:lang w:val="en-US" w:eastAsia="zh-CN" w:bidi="ar-SA"/>
        </w:rPr>
      </w:pPr>
      <w:r>
        <w:rPr>
          <w:rFonts w:hint="eastAsia" w:ascii="宋体" w:hAnsi="宋体" w:eastAsia="宋体" w:cs="宋体"/>
          <w:lang w:val="en-US" w:eastAsia="zh-CN"/>
        </w:rPr>
        <w:t>VOCs排放浓度和排放速率满足《挥发性有机物排放标准 第6部分：有机化工行业》(DB37/2801.6-2018)表1Ⅱ时段排放限值要求；(其中VOCs排放浓度限值60 mg/m³，排放速率限值3.0 kh/h)。化验室VOCs排放浓度和排放速率满足《挥发性有机物排放标准 第7部分：其他行业》(DB37/2801.7-2019)表1Ⅱ时段排放限值要求；(其中VOCs排放浓度限值60 mg/m³，排放速率限值3.0 kh/h)</w:t>
      </w:r>
      <w:r>
        <w:rPr>
          <w:rFonts w:hint="eastAsia" w:asciiTheme="minorEastAsia" w:hAnsiTheme="minorEastAsia" w:eastAsiaTheme="minorEastAsia" w:cstheme="minorEastAsia"/>
          <w:kern w:val="2"/>
          <w:sz w:val="24"/>
          <w:lang w:val="en-US" w:eastAsia="zh-CN" w:bidi="ar-SA"/>
        </w:rPr>
        <w:t>。</w:t>
      </w:r>
    </w:p>
    <w:p w14:paraId="49533435">
      <w:pPr>
        <w:bidi w:val="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kern w:val="2"/>
          <w:sz w:val="24"/>
          <w:szCs w:val="24"/>
          <w:vertAlign w:val="baseline"/>
          <w:lang w:val="en-US" w:eastAsia="zh-CN" w:bidi="ar-SA"/>
        </w:rPr>
        <w:t>(2)无组织排放：</w:t>
      </w:r>
      <w:r>
        <w:rPr>
          <w:rFonts w:hint="eastAsia" w:ascii="宋体" w:hAnsi="宋体" w:eastAsia="宋体" w:cs="宋体"/>
        </w:rPr>
        <w:t>厂界VOCs最大浓度1.06mg/m³、颗粒物最大浓度0.24mg/m³、臭气浓度最大浓度＜10、硫化氢未检出、氨未检出、二甲苯未检出</w:t>
      </w:r>
      <w:r>
        <w:rPr>
          <w:rFonts w:hint="eastAsia" w:ascii="宋体" w:hAnsi="宋体" w:eastAsia="宋体" w:cs="宋体"/>
        </w:rPr>
        <w:tab/>
      </w:r>
      <w:r>
        <w:rPr>
          <w:rFonts w:hint="eastAsia" w:ascii="宋体" w:hAnsi="宋体" w:eastAsia="宋体" w:cs="宋体"/>
        </w:rPr>
        <w:t>，厂区内生产装置区外VOCs最大浓度1.07mg/m³</w:t>
      </w:r>
      <w:r>
        <w:rPr>
          <w:rFonts w:hint="eastAsia" w:asciiTheme="minorEastAsia" w:hAnsiTheme="minorEastAsia" w:eastAsiaTheme="minorEastAsia" w:cstheme="minorEastAsia"/>
          <w:lang w:eastAsia="zh-CN"/>
        </w:rPr>
        <w:t>。</w:t>
      </w:r>
    </w:p>
    <w:p w14:paraId="68DACD96">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lang w:val="en-US" w:eastAsia="zh-CN"/>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综上所述，</w:t>
      </w:r>
      <w:r>
        <w:rPr>
          <w:rFonts w:hint="eastAsia" w:ascii="宋体" w:hAnsi="宋体" w:eastAsia="宋体" w:cs="宋体"/>
          <w:lang w:val="en-US" w:eastAsia="zh-CN"/>
        </w:rPr>
        <w:t>VOCs厂界处监控点浓度满足《挥发性有机物排放标准 第6部分：有机化工行业》(DB37/2801.6-2018)表 2 中的标准要求（VOCs≤2.0 mg/m³）。</w:t>
      </w:r>
    </w:p>
    <w:p w14:paraId="51F889BB">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lang w:val="en-US" w:eastAsia="zh-CN"/>
        </w:rPr>
      </w:pPr>
      <w:r>
        <w:rPr>
          <w:rFonts w:hint="eastAsia" w:ascii="宋体" w:hAnsi="宋体" w:eastAsia="宋体" w:cs="宋体"/>
          <w:lang w:val="en-US" w:eastAsia="zh-CN"/>
        </w:rPr>
        <w:t>厂区内、厂房外监控点 1h 平均浓度值满足《挥发性有机物无组织排放控制标准》(GB37822-2019)附录 A 表 A1 厂区内VOCs 无组织特别排放限值要求（厂房外监控点VOCs(1h平均浓度值)≤6 mg/m³）。</w:t>
      </w:r>
    </w:p>
    <w:p w14:paraId="2C331071">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Theme="minorEastAsia" w:hAnsiTheme="minorEastAsia" w:eastAsiaTheme="minorEastAsia" w:cstheme="minorEastAsia"/>
          <w:kern w:val="0"/>
          <w:sz w:val="24"/>
          <w:szCs w:val="21"/>
          <w:highlight w:val="none"/>
          <w:lang w:val="en-US" w:eastAsia="zh-CN" w:bidi="ar-SA"/>
        </w:rPr>
      </w:pPr>
      <w:r>
        <w:rPr>
          <w:rFonts w:hint="eastAsia" w:ascii="宋体" w:hAnsi="宋体" w:eastAsia="宋体" w:cs="宋体"/>
          <w:lang w:val="en-US" w:eastAsia="zh-CN"/>
        </w:rPr>
        <w:t xml:space="preserve">厂界臭气浓度、氨气、硫化氢满足《恶臭污染物排放标准》 </w:t>
      </w:r>
      <w:r>
        <w:rPr>
          <w:rFonts w:hint="eastAsia" w:ascii="宋体" w:hAnsi="宋体" w:eastAsia="宋体" w:cs="宋体"/>
          <w:lang w:val="en-US" w:eastAsia="zh-CN"/>
        </w:rPr>
        <w:tab/>
      </w:r>
      <w:r>
        <w:rPr>
          <w:rFonts w:hint="eastAsia" w:ascii="宋体" w:hAnsi="宋体" w:eastAsia="宋体" w:cs="宋体"/>
          <w:lang w:val="en-US" w:eastAsia="zh-CN"/>
        </w:rPr>
        <w:t>(GB14554-93) 表1“新扩改建”二级标准限制要求</w:t>
      </w:r>
      <w:r>
        <w:rPr>
          <w:rFonts w:hint="eastAsia" w:asciiTheme="minorEastAsia" w:hAnsiTheme="minorEastAsia" w:eastAsiaTheme="minorEastAsia" w:cstheme="minorEastAsia"/>
          <w:kern w:val="2"/>
          <w:sz w:val="24"/>
          <w:highlight w:val="none"/>
          <w:shd w:val="clear" w:color="auto" w:fill="auto"/>
          <w:lang w:val="en-US" w:eastAsia="zh-CN" w:bidi="ar-SA"/>
        </w:rPr>
        <w:t>。</w:t>
      </w:r>
    </w:p>
    <w:p w14:paraId="233C8F79">
      <w:pPr>
        <w:keepNext w:val="0"/>
        <w:keepLines w:val="0"/>
        <w:pageBreakBefore w:val="0"/>
        <w:numPr>
          <w:ilvl w:val="0"/>
          <w:numId w:val="2"/>
        </w:numPr>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噪声</w:t>
      </w:r>
    </w:p>
    <w:p w14:paraId="5CF9C417">
      <w:pPr>
        <w:bidi w:val="0"/>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2"/>
          <w:sz w:val="24"/>
          <w:szCs w:val="24"/>
          <w:vertAlign w:val="baseline"/>
          <w:lang w:val="en-US" w:eastAsia="zh-CN" w:bidi="ar-SA"/>
        </w:rPr>
        <w:t>本项目噪声源主要源于气流粉碎机、旋风分离器、双锥混合机、高压引风机、砂磨机等机械设备运转时产生的。验收期间，噪声昼间监测最高值为 57.2 dB(A)。因此厂界噪声值满足《工业企业厂界环境噪声排放标准》(GB12348-2008)中 3 类标准要求。</w:t>
      </w:r>
    </w:p>
    <w:p w14:paraId="22AFF234">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 固体废物</w:t>
      </w:r>
    </w:p>
    <w:p w14:paraId="60A26F0F">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本项目产生的固废分为生活垃圾、一般固废及危险废物。</w:t>
      </w:r>
    </w:p>
    <w:p w14:paraId="67288A20">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生活垃圾经收集后，在厂区各处垃圾桶暂存。</w:t>
      </w:r>
    </w:p>
    <w:p w14:paraId="416CE1A0">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一般固废：项目建有一般固废暂存区 1 处，占地面积20m²，主要暂存</w:t>
      </w:r>
      <w:r>
        <w:rPr>
          <w:rFonts w:hint="eastAsia" w:ascii="宋体" w:hAnsi="宋体" w:eastAsia="宋体" w:cs="宋体"/>
          <w:color w:val="000000" w:themeColor="text1"/>
          <w:lang w:val="en-US" w:eastAsia="zh-CN"/>
          <w14:textFill>
            <w14:solidFill>
              <w14:schemeClr w14:val="tx1"/>
            </w14:solidFill>
          </w14:textFill>
        </w:rPr>
        <w:t>废反渗透膜、未沾染药物的废包装材料</w:t>
      </w:r>
      <w:r>
        <w:rPr>
          <w:rFonts w:hint="eastAsia" w:asciiTheme="minorEastAsia" w:hAnsiTheme="minorEastAsia" w:eastAsiaTheme="minorEastAsia" w:cstheme="minorEastAsia"/>
          <w:lang w:val="en-US" w:eastAsia="zh-CN"/>
        </w:rPr>
        <w:t>。</w:t>
      </w:r>
      <w:r>
        <w:rPr>
          <w:rFonts w:hint="eastAsia" w:ascii="宋体" w:hAnsi="宋体" w:eastAsia="宋体" w:cs="宋体"/>
          <w:color w:val="000000" w:themeColor="text1"/>
          <w:lang w:val="en-US" w:eastAsia="zh-CN"/>
          <w14:textFill>
            <w14:solidFill>
              <w14:schemeClr w14:val="tx1"/>
            </w14:solidFill>
          </w14:textFill>
        </w:rPr>
        <w:t>废反渗透膜、未沾染药物的废包装材料</w:t>
      </w:r>
      <w:r>
        <w:rPr>
          <w:rFonts w:hint="eastAsia" w:asciiTheme="minorEastAsia" w:hAnsiTheme="minorEastAsia" w:eastAsiaTheme="minorEastAsia" w:cstheme="minorEastAsia"/>
          <w:lang w:val="en-US" w:eastAsia="zh-CN"/>
        </w:rPr>
        <w:t>暂存于一般固废暂存间，外售综合利用处理。</w:t>
      </w:r>
    </w:p>
    <w:p w14:paraId="3B9A5E99">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危险废物：项目建有危险废物暂存间 1 处，占地面积20m²，主要暂存</w:t>
      </w:r>
      <w:r>
        <w:rPr>
          <w:rFonts w:hint="eastAsia" w:ascii="宋体" w:hAnsi="宋体" w:eastAsia="宋体" w:cs="宋体"/>
          <w:b w:val="0"/>
          <w:bCs w:val="0"/>
          <w:color w:val="000000" w:themeColor="text1"/>
          <w:lang w:val="en-US" w:eastAsia="zh-CN"/>
          <w14:textFill>
            <w14:solidFill>
              <w14:schemeClr w14:val="tx1"/>
            </w14:solidFill>
          </w14:textFill>
        </w:rPr>
        <w:t>沉渣、废油、沾染有毒有害物质的废包装物、污水站污泥、实验室废物、废活性炭、废润滑油包装桶、水膜除尘器废渣等</w:t>
      </w:r>
      <w:r>
        <w:rPr>
          <w:rFonts w:hint="eastAsia" w:asciiTheme="minorEastAsia" w:hAnsiTheme="minorEastAsia" w:eastAsiaTheme="minorEastAsia" w:cstheme="minorEastAsia"/>
          <w:lang w:val="en-US" w:eastAsia="zh-CN"/>
        </w:rPr>
        <w:t>；委托持危废经营许可证的单位处置。</w:t>
      </w:r>
    </w:p>
    <w:p w14:paraId="06B08CD1">
      <w:pPr>
        <w:pStyle w:val="11"/>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lang w:val="en-US" w:eastAsia="zh-CN"/>
        </w:rPr>
        <w:t>建设项目的固体废物管理严格按照要求进行，其中生活垃圾按照《中华人民共和国生态环境法典》第六分编 固体废物污染防治的规定执行。一般固体废物按照《一般工业固体废物贮存和填埋污染控制标准》(GB18599-2020)及《中华人民共和国生态环境法典》第六分编 固体废物污染防治(2020年修订)的规定执行。危险废物贮存按照满足《危险废物贮存污染控制标准》(GB 18597-2023)、《危险废物识别标志设置技术规范》(HJ 1276-2022)、《危险废物管理计划和管理台账制定技术导则》(HJ 1259-2022)及《危险废物储运单元编码要求》(GB/T 38920-2020)等的规定执行</w:t>
      </w:r>
      <w:r>
        <w:rPr>
          <w:rFonts w:hint="eastAsia" w:asciiTheme="minorEastAsia" w:hAnsiTheme="minorEastAsia" w:eastAsiaTheme="minorEastAsia" w:cstheme="minorEastAsia"/>
          <w:kern w:val="2"/>
          <w:sz w:val="24"/>
          <w:szCs w:val="24"/>
          <w:lang w:val="en-US" w:eastAsia="zh-CN" w:bidi="ar"/>
        </w:rPr>
        <w:t>。</w:t>
      </w:r>
    </w:p>
    <w:p w14:paraId="0486FF51">
      <w:pPr>
        <w:keepNext w:val="0"/>
        <w:keepLines w:val="0"/>
        <w:pageBreakBefore w:val="0"/>
        <w:widowControl/>
        <w:kinsoku/>
        <w:wordWrap/>
        <w:overflowPunct/>
        <w:topLinePunct w:val="0"/>
        <w:autoSpaceDE/>
        <w:autoSpaceDN/>
        <w:bidi w:val="0"/>
        <w:adjustRightInd w:val="0"/>
        <w:snapToGrid/>
        <w:spacing w:line="360" w:lineRule="auto"/>
        <w:ind w:firstLine="480" w:firstLineChars="200"/>
        <w:jc w:val="both"/>
        <w:textAlignment w:val="auto"/>
        <w:rPr>
          <w:rFonts w:hint="eastAsia" w:asciiTheme="minorEastAsia" w:hAnsiTheme="minorEastAsia" w:eastAsiaTheme="minorEastAsia" w:cstheme="minorEastAsia"/>
          <w:color w:val="000000"/>
          <w:kern w:val="2"/>
          <w:sz w:val="24"/>
          <w:szCs w:val="22"/>
          <w:lang w:val="en-US" w:eastAsia="zh-CN" w:bidi="ar-SA"/>
        </w:rPr>
      </w:pPr>
      <w:r>
        <w:rPr>
          <w:rFonts w:hint="eastAsia" w:asciiTheme="minorEastAsia" w:hAnsiTheme="minorEastAsia" w:eastAsiaTheme="minorEastAsia" w:cstheme="minorEastAsia"/>
          <w:kern w:val="2"/>
          <w:sz w:val="24"/>
          <w:szCs w:val="24"/>
          <w:lang w:val="en-US" w:eastAsia="zh-CN" w:bidi="ar"/>
        </w:rPr>
        <w:t>综上所述，验收项目的固体废物得到了合理处置，对周围环境影响较小</w:t>
      </w:r>
    </w:p>
    <w:p w14:paraId="480AF3D3">
      <w:pPr>
        <w:pStyle w:val="18"/>
        <w:keepNext w:val="0"/>
        <w:keepLines w:val="0"/>
        <w:pageBreakBefore w:val="0"/>
        <w:numPr>
          <w:ilvl w:val="0"/>
          <w:numId w:val="2"/>
        </w:numPr>
        <w:kinsoku/>
        <w:overflowPunct/>
        <w:topLinePunct w:val="0"/>
        <w:bidi w:val="0"/>
        <w:spacing w:line="360" w:lineRule="auto"/>
        <w:ind w:left="0" w:leftChars="0" w:right="0" w:rightChars="0" w:firstLine="480" w:firstLineChars="20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总量核算</w:t>
      </w:r>
    </w:p>
    <w:p w14:paraId="2BC48C53">
      <w:pPr>
        <w:pStyle w:val="12"/>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根据企业实际情况，车间按照年生产200 天，每天生产8小时，生产过程按照1600小时核算污染物排放总量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废气年排放</w:t>
      </w:r>
      <w:r>
        <w:rPr>
          <w:rFonts w:hint="eastAsia" w:asciiTheme="minorEastAsia" w:hAnsiTheme="minorEastAsia" w:eastAsiaTheme="minorEastAsia" w:cstheme="minorEastAsia"/>
        </w:rPr>
        <w:t>具体计算见</w:t>
      </w:r>
      <w:r>
        <w:rPr>
          <w:rFonts w:hint="eastAsia" w:asciiTheme="minorEastAsia" w:hAnsiTheme="minorEastAsia" w:eastAsiaTheme="minorEastAsia" w:cstheme="minorEastAsia"/>
          <w:b/>
          <w:bCs/>
        </w:rPr>
        <w:t xml:space="preserve">表 </w:t>
      </w:r>
      <w:r>
        <w:rPr>
          <w:rFonts w:hint="eastAsia" w:asciiTheme="minorEastAsia" w:hAnsiTheme="minorEastAsia" w:eastAsiaTheme="minorEastAsia" w:cstheme="minorEastAsia"/>
          <w:b/>
          <w:bCs/>
          <w:lang w:val="en-US" w:eastAsia="zh-CN"/>
        </w:rPr>
        <w:t>4</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rPr>
        <w:t>。</w:t>
      </w:r>
    </w:p>
    <w:p w14:paraId="297F2992">
      <w:pPr>
        <w:pStyle w:val="12"/>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rPr>
        <w:t>表</w:t>
      </w:r>
      <w:r>
        <w:rPr>
          <w:rFonts w:hint="eastAsia" w:asciiTheme="minorEastAsia" w:hAnsiTheme="minorEastAsia" w:eastAsiaTheme="minorEastAsia" w:cstheme="minorEastAsia"/>
          <w:b/>
          <w:bCs/>
          <w:lang w:val="en-US" w:eastAsia="zh-CN"/>
        </w:rPr>
        <w:t>4</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b/>
          <w:bCs/>
        </w:rPr>
        <w:t xml:space="preserve"> 废</w:t>
      </w:r>
      <w:r>
        <w:rPr>
          <w:rFonts w:hint="eastAsia" w:asciiTheme="minorEastAsia" w:hAnsiTheme="minorEastAsia" w:eastAsiaTheme="minorEastAsia" w:cstheme="minorEastAsia"/>
          <w:b/>
          <w:bCs/>
          <w:lang w:val="en-US" w:eastAsia="zh-CN"/>
        </w:rPr>
        <w:t>气</w:t>
      </w:r>
      <w:r>
        <w:rPr>
          <w:rFonts w:hint="eastAsia" w:asciiTheme="minorEastAsia" w:hAnsiTheme="minorEastAsia" w:eastAsiaTheme="minorEastAsia" w:cstheme="minorEastAsia"/>
          <w:b/>
          <w:bCs/>
        </w:rPr>
        <w:t>总量核算表</w:t>
      </w:r>
      <w:r>
        <w:rPr>
          <w:rFonts w:hint="eastAsia" w:asciiTheme="minorEastAsia" w:hAnsiTheme="minorEastAsia" w:eastAsiaTheme="minorEastAsia" w:cstheme="minorEastAsia"/>
          <w:b/>
          <w:bCs/>
          <w:lang w:eastAsia="zh-CN"/>
        </w:rPr>
        <w:t>（</w:t>
      </w:r>
      <w:r>
        <w:rPr>
          <w:rFonts w:hint="eastAsia" w:asciiTheme="minorEastAsia" w:hAnsiTheme="minorEastAsia" w:eastAsiaTheme="minorEastAsia" w:cstheme="minorEastAsia"/>
          <w:b/>
          <w:bCs/>
          <w:lang w:val="en-US" w:eastAsia="zh-CN"/>
        </w:rPr>
        <w:t>生产负荷91.14%</w:t>
      </w:r>
      <w:r>
        <w:rPr>
          <w:rFonts w:hint="eastAsia" w:asciiTheme="minorEastAsia" w:hAnsiTheme="minorEastAsia" w:eastAsiaTheme="minorEastAsia" w:cstheme="minorEastAsia"/>
          <w:b/>
          <w:bCs/>
          <w:lang w:eastAsia="zh-CN"/>
        </w:rPr>
        <w:t>）</w:t>
      </w:r>
    </w:p>
    <w:tbl>
      <w:tblPr>
        <w:tblStyle w:val="13"/>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1034"/>
        <w:gridCol w:w="1047"/>
        <w:gridCol w:w="1404"/>
        <w:gridCol w:w="983"/>
        <w:gridCol w:w="1028"/>
        <w:gridCol w:w="1036"/>
        <w:gridCol w:w="1290"/>
        <w:gridCol w:w="1141"/>
      </w:tblGrid>
      <w:tr w14:paraId="63E3C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tcBorders>
              <w:tl2br w:val="nil"/>
              <w:tr2bl w:val="nil"/>
            </w:tcBorders>
            <w:vAlign w:val="center"/>
          </w:tcPr>
          <w:p w14:paraId="7FA17838">
            <w:pPr>
              <w:pStyle w:val="19"/>
              <w:bidi w:val="0"/>
              <w:rPr>
                <w:rFonts w:hint="eastAsia" w:ascii="宋体" w:hAnsi="宋体" w:eastAsia="宋体" w:cs="宋体"/>
                <w:lang w:val="en-US" w:eastAsia="zh-CN"/>
              </w:rPr>
            </w:pPr>
            <w:r>
              <w:rPr>
                <w:rFonts w:hint="eastAsia" w:ascii="宋体" w:hAnsi="宋体" w:eastAsia="宋体" w:cs="宋体"/>
                <w:lang w:val="en-US" w:eastAsia="zh-CN"/>
              </w:rPr>
              <w:t>种类</w:t>
            </w:r>
          </w:p>
        </w:tc>
        <w:tc>
          <w:tcPr>
            <w:tcW w:w="533" w:type="pct"/>
            <w:tcBorders>
              <w:tl2br w:val="nil"/>
              <w:tr2bl w:val="nil"/>
            </w:tcBorders>
            <w:vAlign w:val="center"/>
          </w:tcPr>
          <w:p w14:paraId="524F99C7">
            <w:pPr>
              <w:pStyle w:val="19"/>
              <w:bidi w:val="0"/>
              <w:rPr>
                <w:rFonts w:hint="eastAsia" w:ascii="宋体" w:hAnsi="宋体" w:eastAsia="宋体" w:cs="宋体"/>
                <w:lang w:val="en-US" w:eastAsia="zh-CN"/>
              </w:rPr>
            </w:pPr>
            <w:r>
              <w:rPr>
                <w:rFonts w:hint="eastAsia" w:ascii="宋体" w:hAnsi="宋体" w:eastAsia="宋体" w:cs="宋体"/>
                <w:lang w:val="en-US" w:eastAsia="zh-CN"/>
              </w:rPr>
              <w:t>排气筒</w:t>
            </w:r>
          </w:p>
        </w:tc>
        <w:tc>
          <w:tcPr>
            <w:tcW w:w="540" w:type="pct"/>
            <w:tcBorders>
              <w:tl2br w:val="nil"/>
              <w:tr2bl w:val="nil"/>
            </w:tcBorders>
            <w:vAlign w:val="center"/>
          </w:tcPr>
          <w:p w14:paraId="55994032">
            <w:pPr>
              <w:pStyle w:val="19"/>
              <w:bidi w:val="0"/>
              <w:rPr>
                <w:rFonts w:hint="eastAsia" w:ascii="宋体" w:hAnsi="宋体" w:eastAsia="宋体" w:cs="宋体"/>
                <w:lang w:val="en-US" w:eastAsia="zh-CN"/>
              </w:rPr>
            </w:pPr>
            <w:r>
              <w:rPr>
                <w:rFonts w:hint="eastAsia" w:ascii="宋体" w:hAnsi="宋体" w:eastAsia="宋体" w:cs="宋体"/>
                <w:lang w:val="en-US" w:eastAsia="zh-CN"/>
              </w:rPr>
              <w:t>污染物</w:t>
            </w:r>
          </w:p>
        </w:tc>
        <w:tc>
          <w:tcPr>
            <w:tcW w:w="724" w:type="pct"/>
            <w:tcBorders>
              <w:tl2br w:val="nil"/>
              <w:tr2bl w:val="nil"/>
            </w:tcBorders>
            <w:vAlign w:val="center"/>
          </w:tcPr>
          <w:p w14:paraId="32E53367">
            <w:pPr>
              <w:pStyle w:val="19"/>
              <w:bidi w:val="0"/>
              <w:rPr>
                <w:rFonts w:hint="eastAsia" w:ascii="宋体" w:hAnsi="宋体" w:eastAsia="宋体" w:cs="宋体"/>
              </w:rPr>
            </w:pPr>
            <w:r>
              <w:rPr>
                <w:rFonts w:hint="eastAsia" w:ascii="宋体" w:hAnsi="宋体" w:eastAsia="宋体" w:cs="宋体"/>
              </w:rPr>
              <w:t>监测期间</w:t>
            </w:r>
          </w:p>
          <w:p w14:paraId="744F2FA6">
            <w:pPr>
              <w:pStyle w:val="19"/>
              <w:bidi w:val="0"/>
              <w:rPr>
                <w:rFonts w:hint="eastAsia" w:ascii="宋体" w:hAnsi="宋体" w:eastAsia="宋体" w:cs="宋体"/>
                <w:lang w:val="en-US" w:eastAsia="zh-CN"/>
              </w:rPr>
            </w:pPr>
            <w:r>
              <w:rPr>
                <w:rFonts w:hint="eastAsia" w:ascii="宋体" w:hAnsi="宋体" w:eastAsia="宋体" w:cs="宋体"/>
              </w:rPr>
              <w:t>速率</w:t>
            </w:r>
            <w:r>
              <w:rPr>
                <w:rFonts w:hint="eastAsia" w:ascii="宋体" w:hAnsi="宋体" w:eastAsia="宋体" w:cs="宋体"/>
                <w:lang w:val="en-US" w:eastAsia="zh-CN"/>
              </w:rPr>
              <w:t>max</w:t>
            </w:r>
          </w:p>
          <w:p w14:paraId="08D4BE78">
            <w:pPr>
              <w:pStyle w:val="19"/>
              <w:bidi w:val="0"/>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rPr>
              <w:t>kg/h</w:t>
            </w:r>
            <w:r>
              <w:rPr>
                <w:rFonts w:hint="eastAsia" w:ascii="宋体" w:hAnsi="宋体" w:eastAsia="宋体" w:cs="宋体"/>
                <w:lang w:val="en-US" w:eastAsia="zh-CN"/>
              </w:rPr>
              <w:t>)</w:t>
            </w:r>
          </w:p>
        </w:tc>
        <w:tc>
          <w:tcPr>
            <w:tcW w:w="507" w:type="pct"/>
            <w:tcBorders>
              <w:tl2br w:val="nil"/>
              <w:tr2bl w:val="nil"/>
            </w:tcBorders>
            <w:vAlign w:val="center"/>
          </w:tcPr>
          <w:p w14:paraId="541092E9">
            <w:pPr>
              <w:pStyle w:val="19"/>
              <w:bidi w:val="0"/>
              <w:rPr>
                <w:rFonts w:hint="eastAsia" w:ascii="宋体" w:hAnsi="宋体" w:eastAsia="宋体" w:cs="宋体"/>
                <w:lang w:val="en-US" w:eastAsia="zh-CN"/>
              </w:rPr>
            </w:pPr>
            <w:r>
              <w:rPr>
                <w:rFonts w:hint="eastAsia" w:ascii="宋体" w:hAnsi="宋体" w:eastAsia="宋体" w:cs="宋体"/>
                <w:lang w:val="en-US" w:eastAsia="zh-CN"/>
              </w:rPr>
              <w:t>年排放</w:t>
            </w:r>
          </w:p>
          <w:p w14:paraId="1F1F7F57">
            <w:pPr>
              <w:pStyle w:val="19"/>
              <w:bidi w:val="0"/>
              <w:rPr>
                <w:rFonts w:hint="eastAsia" w:ascii="宋体" w:hAnsi="宋体" w:eastAsia="宋体" w:cs="宋体"/>
              </w:rPr>
            </w:pPr>
            <w:r>
              <w:rPr>
                <w:rFonts w:hint="eastAsia" w:ascii="宋体" w:hAnsi="宋体" w:eastAsia="宋体" w:cs="宋体"/>
              </w:rPr>
              <w:t>时间h</w:t>
            </w:r>
          </w:p>
        </w:tc>
        <w:tc>
          <w:tcPr>
            <w:tcW w:w="530" w:type="pct"/>
            <w:tcBorders>
              <w:tl2br w:val="nil"/>
              <w:tr2bl w:val="nil"/>
            </w:tcBorders>
            <w:vAlign w:val="center"/>
          </w:tcPr>
          <w:p w14:paraId="51AD0662">
            <w:pPr>
              <w:pStyle w:val="19"/>
              <w:bidi w:val="0"/>
              <w:rPr>
                <w:rFonts w:hint="eastAsia" w:ascii="宋体" w:hAnsi="宋体" w:eastAsia="宋体" w:cs="宋体"/>
              </w:rPr>
            </w:pPr>
            <w:r>
              <w:rPr>
                <w:rFonts w:hint="eastAsia" w:ascii="宋体" w:hAnsi="宋体" w:eastAsia="宋体" w:cs="宋体"/>
              </w:rPr>
              <w:t>核算总</w:t>
            </w:r>
          </w:p>
          <w:p w14:paraId="486E1787">
            <w:pPr>
              <w:pStyle w:val="19"/>
              <w:bidi w:val="0"/>
              <w:rPr>
                <w:rFonts w:hint="eastAsia" w:ascii="宋体" w:hAnsi="宋体" w:eastAsia="宋体" w:cs="宋体"/>
                <w:lang w:eastAsia="zh-CN"/>
              </w:rPr>
            </w:pPr>
            <w:r>
              <w:rPr>
                <w:rFonts w:hint="eastAsia" w:ascii="宋体" w:hAnsi="宋体" w:eastAsia="宋体" w:cs="宋体"/>
              </w:rPr>
              <w:t>量</w:t>
            </w:r>
            <w:r>
              <w:rPr>
                <w:rFonts w:hint="eastAsia" w:ascii="宋体" w:hAnsi="宋体" w:eastAsia="宋体" w:cs="宋体"/>
                <w:lang w:val="en-US" w:eastAsia="zh-CN"/>
              </w:rPr>
              <w:t>(</w:t>
            </w:r>
            <w:r>
              <w:rPr>
                <w:rFonts w:hint="eastAsia" w:ascii="宋体" w:hAnsi="宋体" w:eastAsia="宋体" w:cs="宋体"/>
              </w:rPr>
              <w:t>t/a</w:t>
            </w:r>
            <w:r>
              <w:rPr>
                <w:rFonts w:hint="eastAsia" w:ascii="宋体" w:hAnsi="宋体" w:eastAsia="宋体" w:cs="宋体"/>
                <w:lang w:val="en-US" w:eastAsia="zh-CN"/>
              </w:rPr>
              <w:t>)</w:t>
            </w:r>
          </w:p>
        </w:tc>
        <w:tc>
          <w:tcPr>
            <w:tcW w:w="534" w:type="pct"/>
            <w:tcBorders>
              <w:tl2br w:val="nil"/>
              <w:tr2bl w:val="nil"/>
            </w:tcBorders>
            <w:vAlign w:val="center"/>
          </w:tcPr>
          <w:p w14:paraId="075ADE0F">
            <w:pPr>
              <w:pStyle w:val="19"/>
              <w:bidi w:val="0"/>
              <w:rPr>
                <w:rFonts w:hint="eastAsia" w:ascii="宋体" w:hAnsi="宋体" w:eastAsia="宋体" w:cs="宋体"/>
                <w:lang w:val="en-US" w:eastAsia="zh-CN"/>
              </w:rPr>
            </w:pPr>
            <w:r>
              <w:rPr>
                <w:rFonts w:hint="eastAsia" w:ascii="宋体" w:hAnsi="宋体" w:eastAsia="宋体" w:cs="宋体"/>
                <w:lang w:val="en-US" w:eastAsia="zh-CN"/>
              </w:rPr>
              <w:t>折算满</w:t>
            </w:r>
          </w:p>
          <w:p w14:paraId="64559640">
            <w:pPr>
              <w:pStyle w:val="19"/>
              <w:bidi w:val="0"/>
              <w:rPr>
                <w:rFonts w:hint="eastAsia" w:ascii="宋体" w:hAnsi="宋体" w:eastAsia="宋体" w:cs="宋体"/>
                <w:lang w:val="en-US" w:eastAsia="zh-CN"/>
              </w:rPr>
            </w:pPr>
            <w:r>
              <w:rPr>
                <w:rFonts w:hint="eastAsia" w:ascii="宋体" w:hAnsi="宋体" w:eastAsia="宋体" w:cs="宋体"/>
                <w:lang w:val="en-US" w:eastAsia="zh-CN"/>
              </w:rPr>
              <w:t>负荷(</w:t>
            </w:r>
            <w:r>
              <w:rPr>
                <w:rFonts w:hint="eastAsia" w:ascii="宋体" w:hAnsi="宋体" w:eastAsia="宋体" w:cs="宋体"/>
              </w:rPr>
              <w:t>t/a</w:t>
            </w:r>
            <w:r>
              <w:rPr>
                <w:rFonts w:hint="eastAsia" w:ascii="宋体" w:hAnsi="宋体" w:eastAsia="宋体" w:cs="宋体"/>
                <w:lang w:val="en-US" w:eastAsia="zh-CN"/>
              </w:rPr>
              <w:t>)</w:t>
            </w:r>
          </w:p>
        </w:tc>
        <w:tc>
          <w:tcPr>
            <w:tcW w:w="665" w:type="pct"/>
            <w:tcBorders>
              <w:tl2br w:val="nil"/>
              <w:tr2bl w:val="nil"/>
            </w:tcBorders>
            <w:vAlign w:val="center"/>
          </w:tcPr>
          <w:p w14:paraId="158A6795">
            <w:pPr>
              <w:pStyle w:val="19"/>
              <w:bidi w:val="0"/>
              <w:rPr>
                <w:rFonts w:hint="eastAsia" w:ascii="宋体" w:hAnsi="宋体" w:eastAsia="宋体" w:cs="宋体"/>
                <w:lang w:val="en-US" w:eastAsia="zh-CN"/>
              </w:rPr>
            </w:pPr>
            <w:r>
              <w:rPr>
                <w:rFonts w:hint="eastAsia" w:ascii="宋体" w:hAnsi="宋体" w:eastAsia="宋体" w:cs="宋体"/>
                <w:lang w:val="en-US" w:eastAsia="zh-CN"/>
              </w:rPr>
              <w:t>环评</w:t>
            </w:r>
          </w:p>
          <w:p w14:paraId="6FC68E50">
            <w:pPr>
              <w:pStyle w:val="19"/>
              <w:bidi w:val="0"/>
              <w:rPr>
                <w:rFonts w:hint="eastAsia" w:ascii="宋体" w:hAnsi="宋体" w:eastAsia="宋体" w:cs="宋体"/>
                <w:lang w:val="en-US" w:eastAsia="zh-CN"/>
              </w:rPr>
            </w:pPr>
            <w:r>
              <w:rPr>
                <w:rFonts w:hint="eastAsia" w:ascii="宋体" w:hAnsi="宋体" w:eastAsia="宋体" w:cs="宋体"/>
                <w:lang w:val="en-US" w:eastAsia="zh-CN"/>
              </w:rPr>
              <w:t>批复总量(</w:t>
            </w:r>
            <w:r>
              <w:rPr>
                <w:rFonts w:hint="eastAsia" w:ascii="宋体" w:hAnsi="宋体" w:eastAsia="宋体" w:cs="宋体"/>
              </w:rPr>
              <w:t>t/a</w:t>
            </w:r>
            <w:r>
              <w:rPr>
                <w:rFonts w:hint="eastAsia" w:ascii="宋体" w:hAnsi="宋体" w:eastAsia="宋体" w:cs="宋体"/>
                <w:lang w:val="en-US" w:eastAsia="zh-CN"/>
              </w:rPr>
              <w:t>)</w:t>
            </w:r>
          </w:p>
        </w:tc>
        <w:tc>
          <w:tcPr>
            <w:tcW w:w="588" w:type="pct"/>
            <w:tcBorders>
              <w:tl2br w:val="nil"/>
              <w:tr2bl w:val="nil"/>
            </w:tcBorders>
            <w:vAlign w:val="center"/>
          </w:tcPr>
          <w:p w14:paraId="7AAFC7D8">
            <w:pPr>
              <w:pStyle w:val="19"/>
              <w:bidi w:val="0"/>
              <w:rPr>
                <w:rFonts w:hint="eastAsia" w:ascii="宋体" w:hAnsi="宋体" w:eastAsia="宋体" w:cs="宋体"/>
                <w:lang w:val="en-US" w:eastAsia="zh-CN"/>
              </w:rPr>
            </w:pPr>
            <w:r>
              <w:rPr>
                <w:rFonts w:hint="eastAsia" w:ascii="宋体" w:hAnsi="宋体" w:eastAsia="宋体" w:cs="宋体"/>
                <w:lang w:val="en-US" w:eastAsia="zh-CN"/>
              </w:rPr>
              <w:t>达标</w:t>
            </w:r>
          </w:p>
          <w:p w14:paraId="7B0BCC97">
            <w:pPr>
              <w:pStyle w:val="19"/>
              <w:bidi w:val="0"/>
              <w:rPr>
                <w:rFonts w:hint="eastAsia" w:ascii="宋体" w:hAnsi="宋体" w:eastAsia="宋体" w:cs="宋体"/>
                <w:lang w:val="en-US" w:eastAsia="zh-CN"/>
              </w:rPr>
            </w:pPr>
            <w:r>
              <w:rPr>
                <w:rFonts w:hint="eastAsia" w:ascii="宋体" w:hAnsi="宋体" w:eastAsia="宋体" w:cs="宋体"/>
                <w:lang w:val="en-US" w:eastAsia="zh-CN"/>
              </w:rPr>
              <w:t>情况</w:t>
            </w:r>
          </w:p>
        </w:tc>
      </w:tr>
      <w:tr w14:paraId="53A10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restart"/>
            <w:tcBorders>
              <w:tl2br w:val="nil"/>
              <w:tr2bl w:val="nil"/>
            </w:tcBorders>
            <w:vAlign w:val="center"/>
          </w:tcPr>
          <w:p w14:paraId="7C539E56">
            <w:pPr>
              <w:pStyle w:val="19"/>
              <w:bidi w:val="0"/>
              <w:rPr>
                <w:rFonts w:hint="eastAsia" w:ascii="宋体" w:hAnsi="宋体" w:eastAsia="宋体" w:cs="宋体"/>
                <w:lang w:val="en-US" w:eastAsia="zh-CN"/>
              </w:rPr>
            </w:pPr>
            <w:r>
              <w:rPr>
                <w:rFonts w:hint="eastAsia" w:ascii="宋体" w:hAnsi="宋体" w:eastAsia="宋体" w:cs="宋体"/>
                <w:lang w:val="en-US" w:eastAsia="zh-CN"/>
              </w:rPr>
              <w:t>废气</w:t>
            </w:r>
          </w:p>
        </w:tc>
        <w:tc>
          <w:tcPr>
            <w:tcW w:w="533" w:type="pct"/>
            <w:tcBorders>
              <w:tl2br w:val="nil"/>
              <w:tr2bl w:val="nil"/>
            </w:tcBorders>
            <w:shd w:val="clear" w:color="auto" w:fill="auto"/>
            <w:vAlign w:val="center"/>
          </w:tcPr>
          <w:p w14:paraId="0DA327AB">
            <w:pPr>
              <w:pStyle w:val="19"/>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DA009</w:t>
            </w:r>
          </w:p>
        </w:tc>
        <w:tc>
          <w:tcPr>
            <w:tcW w:w="540" w:type="pct"/>
            <w:tcBorders>
              <w:tl2br w:val="nil"/>
              <w:tr2bl w:val="nil"/>
            </w:tcBorders>
            <w:shd w:val="clear" w:color="auto" w:fill="auto"/>
            <w:vAlign w:val="center"/>
          </w:tcPr>
          <w:p w14:paraId="46B207DF">
            <w:pPr>
              <w:pStyle w:val="19"/>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颗粒物</w:t>
            </w:r>
          </w:p>
        </w:tc>
        <w:tc>
          <w:tcPr>
            <w:tcW w:w="724" w:type="pct"/>
            <w:tcBorders>
              <w:tl2br w:val="nil"/>
              <w:tr2bl w:val="nil"/>
            </w:tcBorders>
            <w:vAlign w:val="center"/>
          </w:tcPr>
          <w:p w14:paraId="2203A4DA">
            <w:pPr>
              <w:pStyle w:val="19"/>
              <w:bidi w:val="0"/>
              <w:ind w:left="0" w:leftChars="0" w:right="0" w:rightChars="0" w:firstLine="0" w:firstLineChars="0"/>
              <w:jc w:val="center"/>
              <w:rPr>
                <w:rFonts w:hint="default" w:ascii="宋体" w:hAnsi="宋体" w:eastAsia="宋体" w:cs="宋体"/>
                <w:spacing w:val="6"/>
                <w:sz w:val="21"/>
                <w:szCs w:val="21"/>
                <w:lang w:val="en-US" w:eastAsia="zh-CN" w:bidi="zh-CN"/>
              </w:rPr>
            </w:pPr>
            <w:r>
              <w:rPr>
                <w:rFonts w:hint="eastAsia" w:ascii="宋体" w:hAnsi="宋体" w:eastAsia="宋体" w:cs="宋体"/>
                <w:lang w:val="en-US" w:eastAsia="zh-CN"/>
              </w:rPr>
              <w:t>0.026</w:t>
            </w:r>
          </w:p>
        </w:tc>
        <w:tc>
          <w:tcPr>
            <w:tcW w:w="507" w:type="pct"/>
            <w:tcBorders>
              <w:tl2br w:val="nil"/>
              <w:tr2bl w:val="nil"/>
            </w:tcBorders>
            <w:vAlign w:val="center"/>
          </w:tcPr>
          <w:p w14:paraId="1CD28460">
            <w:pPr>
              <w:pStyle w:val="19"/>
              <w:bidi w:val="0"/>
              <w:rPr>
                <w:rFonts w:hint="default"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7C4BB951">
            <w:pPr>
              <w:pStyle w:val="19"/>
              <w:bidi w:val="0"/>
              <w:rPr>
                <w:rFonts w:hint="default" w:ascii="宋体" w:hAnsi="宋体" w:eastAsia="宋体" w:cs="宋体"/>
                <w:lang w:val="en-US" w:eastAsia="zh-CN"/>
              </w:rPr>
            </w:pPr>
            <w:r>
              <w:rPr>
                <w:rFonts w:hint="eastAsia" w:ascii="宋体" w:hAnsi="宋体" w:eastAsia="宋体" w:cs="宋体"/>
                <w:lang w:val="en-US" w:eastAsia="zh-CN"/>
              </w:rPr>
              <w:t>0.0416</w:t>
            </w:r>
          </w:p>
        </w:tc>
        <w:tc>
          <w:tcPr>
            <w:tcW w:w="534" w:type="pct"/>
            <w:tcBorders>
              <w:tl2br w:val="nil"/>
              <w:tr2bl w:val="nil"/>
            </w:tcBorders>
            <w:vAlign w:val="center"/>
          </w:tcPr>
          <w:p w14:paraId="2CB182F0">
            <w:pPr>
              <w:pStyle w:val="19"/>
              <w:bidi w:val="0"/>
              <w:rPr>
                <w:rFonts w:hint="eastAsia" w:ascii="宋体" w:hAnsi="宋体" w:eastAsia="宋体" w:cs="宋体"/>
                <w:lang w:val="en-US" w:eastAsia="zh-CN"/>
              </w:rPr>
            </w:pPr>
            <w:r>
              <w:rPr>
                <w:rFonts w:hint="eastAsia" w:ascii="宋体" w:hAnsi="宋体" w:eastAsia="宋体" w:cs="宋体"/>
                <w:lang w:val="en-US" w:eastAsia="zh-CN"/>
              </w:rPr>
              <w:t xml:space="preserve">0.0456 </w:t>
            </w:r>
          </w:p>
        </w:tc>
        <w:tc>
          <w:tcPr>
            <w:tcW w:w="665" w:type="pct"/>
            <w:vMerge w:val="restart"/>
            <w:tcBorders>
              <w:tl2br w:val="nil"/>
              <w:tr2bl w:val="nil"/>
            </w:tcBorders>
            <w:vAlign w:val="center"/>
          </w:tcPr>
          <w:p w14:paraId="30BE6C20">
            <w:pPr>
              <w:pStyle w:val="19"/>
              <w:bidi w:val="0"/>
              <w:rPr>
                <w:rFonts w:hint="default" w:ascii="宋体" w:hAnsi="宋体" w:eastAsia="宋体" w:cs="宋体"/>
                <w:lang w:val="en-US" w:eastAsia="zh-CN"/>
              </w:rPr>
            </w:pPr>
            <w:r>
              <w:rPr>
                <w:rFonts w:hint="eastAsia" w:ascii="宋体" w:hAnsi="宋体" w:eastAsia="宋体" w:cs="宋体"/>
                <w:lang w:val="en-US" w:eastAsia="zh-CN"/>
              </w:rPr>
              <w:t>1.3789</w:t>
            </w:r>
          </w:p>
        </w:tc>
        <w:tc>
          <w:tcPr>
            <w:tcW w:w="588" w:type="pct"/>
            <w:vMerge w:val="restart"/>
            <w:tcBorders>
              <w:tl2br w:val="nil"/>
              <w:tr2bl w:val="nil"/>
            </w:tcBorders>
            <w:vAlign w:val="center"/>
          </w:tcPr>
          <w:p w14:paraId="3FABEFD2">
            <w:pPr>
              <w:pStyle w:val="19"/>
              <w:bidi w:val="0"/>
              <w:rPr>
                <w:rFonts w:hint="eastAsia" w:ascii="宋体" w:hAnsi="宋体" w:eastAsia="宋体" w:cs="宋体"/>
                <w:lang w:val="en-US" w:eastAsia="zh-CN"/>
              </w:rPr>
            </w:pPr>
            <w:r>
              <w:rPr>
                <w:rFonts w:hint="eastAsia" w:ascii="宋体" w:hAnsi="宋体" w:eastAsia="宋体" w:cs="宋体"/>
                <w:lang w:val="en-US" w:eastAsia="zh-CN"/>
              </w:rPr>
              <w:t>达标</w:t>
            </w:r>
          </w:p>
        </w:tc>
      </w:tr>
      <w:tr w14:paraId="6C421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42239333">
            <w:pPr>
              <w:pStyle w:val="19"/>
              <w:bidi w:val="0"/>
              <w:rPr>
                <w:rFonts w:hint="eastAsia" w:ascii="宋体" w:hAnsi="宋体" w:eastAsia="宋体" w:cs="宋体"/>
              </w:rPr>
            </w:pPr>
          </w:p>
        </w:tc>
        <w:tc>
          <w:tcPr>
            <w:tcW w:w="533" w:type="pct"/>
            <w:vMerge w:val="restart"/>
            <w:tcBorders>
              <w:tl2br w:val="nil"/>
              <w:tr2bl w:val="nil"/>
            </w:tcBorders>
            <w:shd w:val="clear" w:color="auto" w:fill="auto"/>
            <w:vAlign w:val="center"/>
          </w:tcPr>
          <w:p w14:paraId="6DDF73B1">
            <w:pPr>
              <w:pStyle w:val="19"/>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DA007</w:t>
            </w:r>
          </w:p>
        </w:tc>
        <w:tc>
          <w:tcPr>
            <w:tcW w:w="540" w:type="pct"/>
            <w:tcBorders>
              <w:tl2br w:val="nil"/>
              <w:tr2bl w:val="nil"/>
            </w:tcBorders>
            <w:shd w:val="clear" w:color="auto" w:fill="auto"/>
            <w:vAlign w:val="center"/>
          </w:tcPr>
          <w:p w14:paraId="686CAB69">
            <w:pPr>
              <w:pStyle w:val="19"/>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颗粒物</w:t>
            </w:r>
          </w:p>
        </w:tc>
        <w:tc>
          <w:tcPr>
            <w:tcW w:w="724" w:type="pct"/>
            <w:tcBorders>
              <w:tl2br w:val="nil"/>
              <w:tr2bl w:val="nil"/>
            </w:tcBorders>
            <w:vAlign w:val="center"/>
          </w:tcPr>
          <w:p w14:paraId="0D6875F4">
            <w:pPr>
              <w:pStyle w:val="19"/>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0.015</w:t>
            </w:r>
          </w:p>
        </w:tc>
        <w:tc>
          <w:tcPr>
            <w:tcW w:w="507" w:type="pct"/>
            <w:tcBorders>
              <w:tl2br w:val="nil"/>
              <w:tr2bl w:val="nil"/>
            </w:tcBorders>
            <w:vAlign w:val="center"/>
          </w:tcPr>
          <w:p w14:paraId="61F3EA11">
            <w:pPr>
              <w:pStyle w:val="19"/>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338E7A5C">
            <w:pPr>
              <w:pStyle w:val="19"/>
              <w:bidi w:val="0"/>
              <w:rPr>
                <w:rFonts w:hint="default" w:ascii="宋体" w:hAnsi="宋体" w:eastAsia="宋体" w:cs="宋体"/>
                <w:lang w:val="en-US" w:eastAsia="zh-CN"/>
              </w:rPr>
            </w:pPr>
            <w:r>
              <w:rPr>
                <w:rFonts w:hint="eastAsia" w:ascii="宋体" w:hAnsi="宋体" w:eastAsia="宋体" w:cs="宋体"/>
                <w:lang w:val="en-US" w:eastAsia="zh-CN"/>
              </w:rPr>
              <w:t>0.024</w:t>
            </w:r>
          </w:p>
        </w:tc>
        <w:tc>
          <w:tcPr>
            <w:tcW w:w="534" w:type="pct"/>
            <w:tcBorders>
              <w:tl2br w:val="nil"/>
              <w:tr2bl w:val="nil"/>
            </w:tcBorders>
            <w:vAlign w:val="center"/>
          </w:tcPr>
          <w:p w14:paraId="63A074C3">
            <w:pPr>
              <w:pStyle w:val="19"/>
              <w:bidi w:val="0"/>
              <w:rPr>
                <w:rFonts w:hint="default" w:ascii="宋体" w:hAnsi="宋体" w:eastAsia="宋体" w:cs="宋体"/>
                <w:lang w:val="en-US" w:eastAsia="zh-CN"/>
              </w:rPr>
            </w:pPr>
            <w:r>
              <w:rPr>
                <w:rFonts w:hint="eastAsia" w:ascii="宋体" w:hAnsi="宋体" w:eastAsia="宋体" w:cs="宋体"/>
                <w:lang w:val="en-US" w:eastAsia="zh-CN"/>
              </w:rPr>
              <w:t>0.0263</w:t>
            </w:r>
          </w:p>
        </w:tc>
        <w:tc>
          <w:tcPr>
            <w:tcW w:w="665" w:type="pct"/>
            <w:vMerge w:val="continue"/>
            <w:tcBorders>
              <w:tl2br w:val="nil"/>
              <w:tr2bl w:val="nil"/>
            </w:tcBorders>
            <w:vAlign w:val="center"/>
          </w:tcPr>
          <w:p w14:paraId="13A221D0">
            <w:pPr>
              <w:pStyle w:val="19"/>
              <w:bidi w:val="0"/>
              <w:rPr>
                <w:rFonts w:hint="eastAsia" w:ascii="宋体" w:hAnsi="宋体" w:eastAsia="宋体" w:cs="宋体"/>
                <w:lang w:val="en-US" w:eastAsia="zh-CN"/>
              </w:rPr>
            </w:pPr>
          </w:p>
        </w:tc>
        <w:tc>
          <w:tcPr>
            <w:tcW w:w="588" w:type="pct"/>
            <w:vMerge w:val="continue"/>
            <w:tcBorders>
              <w:tl2br w:val="nil"/>
              <w:tr2bl w:val="nil"/>
            </w:tcBorders>
            <w:vAlign w:val="center"/>
          </w:tcPr>
          <w:p w14:paraId="5CBF424E">
            <w:pPr>
              <w:pStyle w:val="19"/>
              <w:bidi w:val="0"/>
              <w:rPr>
                <w:rFonts w:hint="eastAsia" w:ascii="宋体" w:hAnsi="宋体" w:eastAsia="宋体" w:cs="宋体"/>
                <w:lang w:val="en-US" w:eastAsia="zh-CN"/>
              </w:rPr>
            </w:pPr>
          </w:p>
        </w:tc>
      </w:tr>
      <w:tr w14:paraId="0A9F0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37838092">
            <w:pPr>
              <w:pStyle w:val="19"/>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45A6ABA4">
            <w:pPr>
              <w:pStyle w:val="19"/>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4E1A3FB8">
            <w:pPr>
              <w:pStyle w:val="19"/>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二甲苯</w:t>
            </w:r>
          </w:p>
        </w:tc>
        <w:tc>
          <w:tcPr>
            <w:tcW w:w="724" w:type="pct"/>
            <w:tcBorders>
              <w:tl2br w:val="nil"/>
              <w:tr2bl w:val="nil"/>
            </w:tcBorders>
            <w:vAlign w:val="center"/>
          </w:tcPr>
          <w:p w14:paraId="69AECBD6">
            <w:pPr>
              <w:pStyle w:val="19"/>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1AD45854">
            <w:pPr>
              <w:pStyle w:val="19"/>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415122EF">
            <w:pPr>
              <w:pStyle w:val="19"/>
              <w:bidi w:val="0"/>
              <w:rPr>
                <w:rFonts w:hint="default"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29FD9ECD">
            <w:pPr>
              <w:pStyle w:val="19"/>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restart"/>
            <w:tcBorders>
              <w:tl2br w:val="nil"/>
              <w:tr2bl w:val="nil"/>
            </w:tcBorders>
            <w:vAlign w:val="center"/>
          </w:tcPr>
          <w:p w14:paraId="56B741F6">
            <w:pPr>
              <w:pStyle w:val="19"/>
              <w:bidi w:val="0"/>
              <w:rPr>
                <w:rFonts w:hint="default" w:ascii="宋体" w:hAnsi="宋体" w:eastAsia="宋体" w:cs="宋体"/>
                <w:lang w:val="en-US" w:eastAsia="zh-CN"/>
              </w:rPr>
            </w:pPr>
            <w:r>
              <w:rPr>
                <w:rFonts w:hint="eastAsia" w:ascii="宋体" w:hAnsi="宋体" w:eastAsia="宋体" w:cs="宋体"/>
                <w:lang w:val="en-US" w:eastAsia="zh-CN"/>
              </w:rPr>
              <w:t>0.2323</w:t>
            </w:r>
          </w:p>
        </w:tc>
        <w:tc>
          <w:tcPr>
            <w:tcW w:w="588" w:type="pct"/>
            <w:vMerge w:val="restart"/>
            <w:tcBorders>
              <w:tl2br w:val="nil"/>
              <w:tr2bl w:val="nil"/>
            </w:tcBorders>
            <w:vAlign w:val="center"/>
          </w:tcPr>
          <w:p w14:paraId="4B09D1CB">
            <w:pPr>
              <w:pStyle w:val="19"/>
              <w:bidi w:val="0"/>
              <w:rPr>
                <w:rFonts w:hint="default" w:ascii="宋体" w:hAnsi="宋体" w:eastAsia="宋体" w:cs="宋体"/>
                <w:lang w:val="en-US" w:eastAsia="zh-CN"/>
              </w:rPr>
            </w:pPr>
            <w:r>
              <w:rPr>
                <w:rFonts w:hint="eastAsia" w:ascii="宋体" w:hAnsi="宋体" w:eastAsia="宋体" w:cs="宋体"/>
                <w:lang w:val="en-US" w:eastAsia="zh-CN"/>
              </w:rPr>
              <w:t>达标</w:t>
            </w:r>
          </w:p>
        </w:tc>
      </w:tr>
      <w:tr w14:paraId="787A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029D6897">
            <w:pPr>
              <w:pStyle w:val="19"/>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31BF1E84">
            <w:pPr>
              <w:pStyle w:val="19"/>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7270193B">
            <w:pPr>
              <w:pStyle w:val="19"/>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VOCs</w:t>
            </w:r>
          </w:p>
        </w:tc>
        <w:tc>
          <w:tcPr>
            <w:tcW w:w="724" w:type="pct"/>
            <w:tcBorders>
              <w:tl2br w:val="nil"/>
              <w:tr2bl w:val="nil"/>
            </w:tcBorders>
            <w:vAlign w:val="center"/>
          </w:tcPr>
          <w:p w14:paraId="313D3C45">
            <w:pPr>
              <w:pStyle w:val="19"/>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06F36F0E">
            <w:pPr>
              <w:pStyle w:val="19"/>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595331E0">
            <w:pPr>
              <w:pStyle w:val="19"/>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4AA2B48D">
            <w:pPr>
              <w:pStyle w:val="19"/>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2D7EE832">
            <w:pPr>
              <w:pStyle w:val="19"/>
              <w:bidi w:val="0"/>
              <w:rPr>
                <w:rFonts w:hint="eastAsia" w:ascii="宋体" w:hAnsi="宋体" w:eastAsia="宋体" w:cs="宋体"/>
                <w:lang w:val="en-US" w:eastAsia="zh-CN"/>
              </w:rPr>
            </w:pPr>
          </w:p>
        </w:tc>
        <w:tc>
          <w:tcPr>
            <w:tcW w:w="588" w:type="pct"/>
            <w:vMerge w:val="continue"/>
            <w:tcBorders>
              <w:tl2br w:val="nil"/>
              <w:tr2bl w:val="nil"/>
            </w:tcBorders>
            <w:vAlign w:val="center"/>
          </w:tcPr>
          <w:p w14:paraId="2C2CB7BA">
            <w:pPr>
              <w:pStyle w:val="19"/>
              <w:bidi w:val="0"/>
              <w:rPr>
                <w:rFonts w:hint="eastAsia" w:ascii="宋体" w:hAnsi="宋体" w:eastAsia="宋体" w:cs="宋体"/>
                <w:lang w:val="en-US" w:eastAsia="zh-CN"/>
              </w:rPr>
            </w:pPr>
          </w:p>
        </w:tc>
      </w:tr>
      <w:tr w14:paraId="1EC63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239A6EED">
            <w:pPr>
              <w:pStyle w:val="19"/>
              <w:bidi w:val="0"/>
              <w:rPr>
                <w:rFonts w:hint="eastAsia" w:ascii="宋体" w:hAnsi="宋体" w:eastAsia="宋体" w:cs="宋体"/>
              </w:rPr>
            </w:pPr>
          </w:p>
        </w:tc>
        <w:tc>
          <w:tcPr>
            <w:tcW w:w="533" w:type="pct"/>
            <w:tcBorders>
              <w:tl2br w:val="nil"/>
              <w:tr2bl w:val="nil"/>
            </w:tcBorders>
            <w:shd w:val="clear" w:color="auto" w:fill="auto"/>
            <w:vAlign w:val="center"/>
          </w:tcPr>
          <w:p w14:paraId="64E8A0C2">
            <w:pPr>
              <w:pStyle w:val="19"/>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DA008</w:t>
            </w:r>
          </w:p>
        </w:tc>
        <w:tc>
          <w:tcPr>
            <w:tcW w:w="540" w:type="pct"/>
            <w:tcBorders>
              <w:tl2br w:val="nil"/>
              <w:tr2bl w:val="nil"/>
            </w:tcBorders>
            <w:shd w:val="clear" w:color="auto" w:fill="auto"/>
            <w:vAlign w:val="center"/>
          </w:tcPr>
          <w:p w14:paraId="74E8658B">
            <w:pPr>
              <w:pStyle w:val="19"/>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VOCs</w:t>
            </w:r>
          </w:p>
        </w:tc>
        <w:tc>
          <w:tcPr>
            <w:tcW w:w="724" w:type="pct"/>
            <w:tcBorders>
              <w:tl2br w:val="nil"/>
              <w:tr2bl w:val="nil"/>
            </w:tcBorders>
            <w:vAlign w:val="center"/>
          </w:tcPr>
          <w:p w14:paraId="13A227A5">
            <w:pPr>
              <w:pStyle w:val="19"/>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2EEF5BA1">
            <w:pPr>
              <w:pStyle w:val="19"/>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7AB9DC0C">
            <w:pPr>
              <w:pStyle w:val="19"/>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6CFEFE91">
            <w:pPr>
              <w:pStyle w:val="19"/>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3DB81873">
            <w:pPr>
              <w:pStyle w:val="19"/>
              <w:bidi w:val="0"/>
              <w:rPr>
                <w:rFonts w:hint="eastAsia" w:ascii="宋体" w:hAnsi="宋体" w:eastAsia="宋体" w:cs="宋体"/>
                <w:lang w:val="en-US" w:eastAsia="zh-CN"/>
              </w:rPr>
            </w:pPr>
          </w:p>
        </w:tc>
        <w:tc>
          <w:tcPr>
            <w:tcW w:w="588" w:type="pct"/>
            <w:vMerge w:val="continue"/>
            <w:tcBorders>
              <w:tl2br w:val="nil"/>
              <w:tr2bl w:val="nil"/>
            </w:tcBorders>
            <w:vAlign w:val="center"/>
          </w:tcPr>
          <w:p w14:paraId="32FF3ADF">
            <w:pPr>
              <w:pStyle w:val="19"/>
              <w:bidi w:val="0"/>
              <w:rPr>
                <w:rFonts w:hint="eastAsia" w:ascii="宋体" w:hAnsi="宋体" w:eastAsia="宋体" w:cs="宋体"/>
                <w:lang w:val="en-US" w:eastAsia="zh-CN"/>
              </w:rPr>
            </w:pPr>
          </w:p>
        </w:tc>
      </w:tr>
    </w:tbl>
    <w:p w14:paraId="31F3C1FF">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综上所述，</w:t>
      </w:r>
      <w:r>
        <w:rPr>
          <w:rFonts w:hint="eastAsia" w:ascii="宋体" w:hAnsi="宋体" w:eastAsia="宋体" w:cs="宋体"/>
          <w:sz w:val="24"/>
          <w:szCs w:val="24"/>
          <w:lang w:val="en-US" w:eastAsia="zh-CN"/>
        </w:rPr>
        <w:t>该项目的废气中颗粒物、二甲苯及VOCs废气的年排放总量情况符合废气排放总量管控要求。</w:t>
      </w:r>
    </w:p>
    <w:p w14:paraId="1929CFE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Theme="minorEastAsia" w:hAnsiTheme="minorEastAsia" w:eastAsiaTheme="minorEastAsia" w:cstheme="minorEastAsia"/>
          <w:kern w:val="2"/>
          <w:sz w:val="24"/>
          <w:szCs w:val="24"/>
          <w:lang w:val="zh-CN" w:eastAsia="zh-CN" w:bidi="ar"/>
        </w:rPr>
      </w:pPr>
      <w:r>
        <w:rPr>
          <w:rFonts w:hint="eastAsia" w:ascii="宋体" w:hAnsi="宋体" w:eastAsia="宋体" w:cs="宋体"/>
          <w:color w:val="000000" w:themeColor="text1"/>
          <w14:textFill>
            <w14:solidFill>
              <w14:schemeClr w14:val="tx1"/>
            </w14:solidFill>
          </w14:textFill>
        </w:rPr>
        <w:t>项目废水为间接排放，其污染物排放总量已纳入</w:t>
      </w:r>
      <w:r>
        <w:rPr>
          <w:rFonts w:hint="eastAsia" w:ascii="宋体" w:hAnsi="宋体" w:eastAsia="宋体" w:cs="宋体"/>
          <w:lang w:val="en-US" w:eastAsia="zh-CN"/>
        </w:rPr>
        <w:t>济南市植保科技工业园园区污水处理站</w:t>
      </w:r>
      <w:r>
        <w:rPr>
          <w:rFonts w:hint="eastAsia" w:ascii="宋体" w:hAnsi="宋体" w:eastAsia="宋体" w:cs="宋体"/>
          <w:color w:val="000000" w:themeColor="text1"/>
          <w14:textFill>
            <w14:solidFill>
              <w14:schemeClr w14:val="tx1"/>
            </w14:solidFill>
          </w14:textFill>
        </w:rPr>
        <w:t>的年排放量指标内，验收报告不进行考核</w:t>
      </w:r>
      <w:r>
        <w:rPr>
          <w:rFonts w:hint="eastAsia" w:asciiTheme="minorEastAsia" w:hAnsiTheme="minorEastAsia" w:eastAsiaTheme="minorEastAsia" w:cstheme="minorEastAsia"/>
          <w:kern w:val="2"/>
          <w:sz w:val="24"/>
          <w:szCs w:val="24"/>
          <w:lang w:val="zh-CN" w:eastAsia="zh-CN" w:bidi="ar"/>
        </w:rPr>
        <w:t>。</w:t>
      </w:r>
    </w:p>
    <w:p w14:paraId="340C22A1">
      <w:pPr>
        <w:keepNext w:val="0"/>
        <w:keepLines w:val="0"/>
        <w:pageBreakBefore w:val="0"/>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rPr>
        <w:t>、验收结论及后续要求</w:t>
      </w:r>
    </w:p>
    <w:p w14:paraId="69F24E8B">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 验收总体结论</w:t>
      </w:r>
    </w:p>
    <w:p w14:paraId="7C791592">
      <w:pPr>
        <w:pStyle w:val="12"/>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8"/>
        </w:rPr>
        <w:t>本项目环评手续完备，技术资料基本齐全。项目主体及环境保护设施等总体按环评及批复要求建成，具备正常运行条件。验收监测表明，</w:t>
      </w:r>
      <w:r>
        <w:rPr>
          <w:rFonts w:hint="eastAsia" w:asciiTheme="minorEastAsia" w:hAnsiTheme="minorEastAsia" w:eastAsiaTheme="minorEastAsia" w:cstheme="minorEastAsia"/>
          <w:kern w:val="0"/>
        </w:rPr>
        <w:t>各项污染物均达标排放，满足环评批复的总量控制指标要求，固体废物均得到妥善处置，</w:t>
      </w:r>
      <w:r>
        <w:rPr>
          <w:rFonts w:hint="eastAsia" w:asciiTheme="minorEastAsia" w:hAnsiTheme="minorEastAsia" w:eastAsiaTheme="minorEastAsia" w:cstheme="minorEastAsia"/>
          <w:szCs w:val="28"/>
        </w:rPr>
        <w:t>项目各项污染物能够达标排放，具备建设项目竣工环境保护验收条件，验收组同意通过验收。</w:t>
      </w:r>
    </w:p>
    <w:p w14:paraId="6A59D0C6">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 验收建议</w:t>
      </w:r>
    </w:p>
    <w:p w14:paraId="16FB7631">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完善并落实环境监测计划，对不具备自行监测能力的内容委托有资质的单位按计划开展日常监测工作；按照《企事业单位环境信息公开管理办法》要求进行环境信息公开；进一步健全环保管理机构，加强对环保管理人员的培训，提高员工的业务素质。</w:t>
      </w:r>
    </w:p>
    <w:p w14:paraId="442760E2">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（2）按《危险废物贮存污染控制标准》(GB18597-2023)要求，建设规范的危废暂存间，规范危险废物管理制度、标志和台账；核实项目危险废物种类和数量，落实收集、暂存及处置环节。</w:t>
      </w:r>
    </w:p>
    <w:p w14:paraId="04B346B6">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（3）加强废气、废水等环保设施的日常维护和管理，确保环保设施正常运转，实现各项污染物长期稳定达标排放；如遇环保设施检修、停运等情况，要及时向生态环境部门报告，并如实记录备查。</w:t>
      </w:r>
    </w:p>
    <w:p w14:paraId="7D360B5B">
      <w:pPr>
        <w:pStyle w:val="18"/>
        <w:keepNext w:val="0"/>
        <w:keepLines w:val="0"/>
        <w:pageBreakBefore w:val="0"/>
        <w:kinsoku/>
        <w:overflowPunct/>
        <w:topLinePunct w:val="0"/>
        <w:bidi w:val="0"/>
        <w:spacing w:line="360" w:lineRule="auto"/>
        <w:ind w:firstLine="480"/>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eastAsia="zh-CN"/>
        </w:rPr>
        <w:t>（</w:t>
      </w:r>
      <w:r>
        <w:rPr>
          <w:rFonts w:hint="eastAsia" w:asciiTheme="minorEastAsia" w:hAnsiTheme="minorEastAsia" w:eastAsiaTheme="minorEastAsia" w:cstheme="minorEastAsia"/>
          <w:szCs w:val="24"/>
          <w:lang w:val="en-US" w:eastAsia="zh-CN"/>
        </w:rPr>
        <w:t>4</w:t>
      </w:r>
      <w:r>
        <w:rPr>
          <w:rFonts w:hint="eastAsia" w:asciiTheme="minorEastAsia" w:hAnsiTheme="minorEastAsia" w:eastAsiaTheme="minorEastAsia" w:cstheme="minorEastAsia"/>
          <w:szCs w:val="24"/>
          <w:lang w:eastAsia="zh-CN"/>
        </w:rPr>
        <w:t>）</w:t>
      </w:r>
      <w:r>
        <w:rPr>
          <w:rFonts w:hint="eastAsia" w:asciiTheme="minorEastAsia" w:hAnsiTheme="minorEastAsia" w:eastAsiaTheme="minorEastAsia" w:cstheme="minorEastAsia"/>
          <w:szCs w:val="24"/>
          <w:lang w:val="en-US" w:eastAsia="zh-CN"/>
        </w:rPr>
        <w:t>进一步核实检测报告检测数据；及时更新突发环境事件应急预案并进行备案。</w:t>
      </w:r>
    </w:p>
    <w:p w14:paraId="7C3D3D25">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w:t>
      </w:r>
      <w:r>
        <w:rPr>
          <w:rFonts w:hint="eastAsia" w:asciiTheme="minorEastAsia" w:hAnsiTheme="minorEastAsia" w:eastAsiaTheme="minorEastAsia" w:cstheme="minorEastAsia"/>
          <w:szCs w:val="24"/>
          <w:lang w:val="en-US" w:eastAsia="zh-CN"/>
        </w:rPr>
        <w:t>5</w:t>
      </w:r>
      <w:r>
        <w:rPr>
          <w:rFonts w:hint="eastAsia" w:asciiTheme="minorEastAsia" w:hAnsiTheme="minorEastAsia" w:eastAsiaTheme="minorEastAsia" w:cstheme="minorEastAsia"/>
          <w:szCs w:val="24"/>
        </w:rPr>
        <w:t>）验收合格后按《建设项目竣工环境保护验收暂行办法》规定，通过网站或其他便于公众知悉的方式依法向社会公开，向生态环境部门报送项目竣工验收材料。</w:t>
      </w:r>
    </w:p>
    <w:p w14:paraId="7C6BBA29">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七、验收人员信息</w:t>
      </w:r>
    </w:p>
    <w:p w14:paraId="7D55C6F7">
      <w:pPr>
        <w:pStyle w:val="18"/>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验收人员信息见下表。</w:t>
      </w:r>
    </w:p>
    <w:p w14:paraId="367FA06F">
      <w:pPr>
        <w:pStyle w:val="16"/>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rPr>
      </w:pPr>
    </w:p>
    <w:p w14:paraId="1E6D0586">
      <w:pPr>
        <w:pStyle w:val="16"/>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rPr>
      </w:pPr>
    </w:p>
    <w:p w14:paraId="39D13678">
      <w:pPr>
        <w:pStyle w:val="16"/>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验收工作组</w:t>
      </w:r>
    </w:p>
    <w:p w14:paraId="51099B82">
      <w:pPr>
        <w:keepNext w:val="0"/>
        <w:keepLines w:val="0"/>
        <w:pageBreakBefore w:val="0"/>
        <w:tabs>
          <w:tab w:val="left" w:pos="6135"/>
        </w:tabs>
        <w:kinsoku/>
        <w:overflowPunct/>
        <w:topLinePunct w:val="0"/>
        <w:bidi w:val="0"/>
        <w:spacing w:line="360" w:lineRule="auto"/>
        <w:ind w:firstLine="6240" w:firstLineChars="2600"/>
        <w:jc w:val="both"/>
        <w:rPr>
          <w:rFonts w:hint="eastAsia" w:asciiTheme="minorEastAsia" w:hAnsiTheme="minorEastAsia" w:eastAsiaTheme="minorEastAsia" w:cstheme="minorEastAsia"/>
          <w:sz w:val="24"/>
          <w:szCs w:val="24"/>
          <w:lang w:eastAsia="zh-CN"/>
        </w:rPr>
        <w:sectPr>
          <w:headerReference r:id="rId5" w:type="default"/>
          <w:footerReference r:id="rId6" w:type="default"/>
          <w:pgSz w:w="11850" w:h="16783"/>
          <w:pgMar w:top="1247" w:right="1080" w:bottom="1247" w:left="1080" w:header="851" w:footer="624" w:gutter="0"/>
          <w:pgNumType w:fmt="decimal"/>
          <w:cols w:space="720" w:num="1"/>
          <w:docGrid w:type="lines" w:linePitch="322" w:charSpace="0"/>
        </w:sect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日</w:t>
      </w:r>
    </w:p>
    <w:p w14:paraId="1383D5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32"/>
          <w:szCs w:val="32"/>
          <w:lang w:val="en-US" w:eastAsia="zh-CN"/>
        </w:rPr>
      </w:pPr>
      <w:r>
        <w:rPr>
          <w:rFonts w:hint="eastAsia" w:asciiTheme="minorEastAsia" w:hAnsiTheme="minorEastAsia" w:eastAsiaTheme="minorEastAsia" w:cstheme="minorEastAsia"/>
          <w:b/>
          <w:sz w:val="32"/>
          <w:szCs w:val="32"/>
          <w:lang w:val="en-US" w:eastAsia="zh-CN" w:bidi="ar"/>
        </w:rPr>
        <w:t>济南天雨百禾植物营养技术有限公司济南天雨百禾年产 56000 吨植物营养与保护制剂加工项目（二期）竣工环境保护验收审核会</w:t>
      </w:r>
      <w:r>
        <w:rPr>
          <w:rFonts w:hint="eastAsia" w:asciiTheme="minorEastAsia" w:hAnsiTheme="minorEastAsia" w:eastAsiaTheme="minorEastAsia" w:cstheme="minorEastAsia"/>
          <w:b/>
          <w:bCs/>
          <w:color w:val="auto"/>
          <w:sz w:val="32"/>
          <w:szCs w:val="32"/>
          <w:lang w:val="en-US" w:eastAsia="zh-CN"/>
        </w:rPr>
        <w:t>签字表</w:t>
      </w:r>
    </w:p>
    <w:p w14:paraId="51629A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32"/>
          <w:szCs w:val="32"/>
          <w:lang w:val="en-US" w:eastAsia="zh-CN"/>
        </w:rPr>
      </w:pPr>
    </w:p>
    <w:tbl>
      <w:tblPr>
        <w:tblStyle w:val="14"/>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1874"/>
        <w:gridCol w:w="5018"/>
        <w:gridCol w:w="2046"/>
        <w:gridCol w:w="2687"/>
      </w:tblGrid>
      <w:tr w14:paraId="2253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noWrap w:val="0"/>
            <w:vAlign w:val="center"/>
          </w:tcPr>
          <w:p w14:paraId="7E5BCE91">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项目</w:t>
            </w:r>
          </w:p>
        </w:tc>
        <w:tc>
          <w:tcPr>
            <w:tcW w:w="662" w:type="pct"/>
            <w:noWrap w:val="0"/>
            <w:vAlign w:val="center"/>
          </w:tcPr>
          <w:p w14:paraId="3B15B554">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姓名</w:t>
            </w:r>
          </w:p>
        </w:tc>
        <w:tc>
          <w:tcPr>
            <w:tcW w:w="1773" w:type="pct"/>
            <w:noWrap w:val="0"/>
            <w:vAlign w:val="center"/>
          </w:tcPr>
          <w:p w14:paraId="3AB87934">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单位名称</w:t>
            </w:r>
          </w:p>
        </w:tc>
        <w:tc>
          <w:tcPr>
            <w:tcW w:w="723" w:type="pct"/>
            <w:noWrap w:val="0"/>
            <w:vAlign w:val="center"/>
          </w:tcPr>
          <w:p w14:paraId="232847C3">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职位/职称</w:t>
            </w:r>
          </w:p>
        </w:tc>
        <w:tc>
          <w:tcPr>
            <w:tcW w:w="949" w:type="pct"/>
            <w:noWrap w:val="0"/>
            <w:vAlign w:val="center"/>
          </w:tcPr>
          <w:p w14:paraId="113B4FF4">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签名</w:t>
            </w:r>
          </w:p>
        </w:tc>
      </w:tr>
      <w:tr w14:paraId="4A1D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restart"/>
            <w:noWrap w:val="0"/>
            <w:vAlign w:val="center"/>
          </w:tcPr>
          <w:p w14:paraId="62538FA6">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建设单位</w:t>
            </w:r>
          </w:p>
        </w:tc>
        <w:tc>
          <w:tcPr>
            <w:tcW w:w="662" w:type="pct"/>
            <w:noWrap w:val="0"/>
            <w:vAlign w:val="center"/>
          </w:tcPr>
          <w:p w14:paraId="329BC0BD">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类兴彤</w:t>
            </w:r>
          </w:p>
        </w:tc>
        <w:tc>
          <w:tcPr>
            <w:tcW w:w="1773" w:type="pct"/>
            <w:vMerge w:val="restart"/>
            <w:noWrap w:val="0"/>
            <w:vAlign w:val="center"/>
          </w:tcPr>
          <w:p w14:paraId="6F3879C2">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济南天雨百禾植物营养技术有限公司</w:t>
            </w:r>
          </w:p>
        </w:tc>
        <w:tc>
          <w:tcPr>
            <w:tcW w:w="723" w:type="pct"/>
            <w:noWrap w:val="0"/>
            <w:vAlign w:val="center"/>
          </w:tcPr>
          <w:p w14:paraId="2892B146">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总经理</w:t>
            </w:r>
          </w:p>
        </w:tc>
        <w:tc>
          <w:tcPr>
            <w:tcW w:w="949" w:type="pct"/>
            <w:noWrap w:val="0"/>
            <w:vAlign w:val="center"/>
          </w:tcPr>
          <w:p w14:paraId="3D199055">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r w14:paraId="5C61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continue"/>
            <w:noWrap w:val="0"/>
            <w:vAlign w:val="center"/>
          </w:tcPr>
          <w:p w14:paraId="7EA60BF0">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662" w:type="pct"/>
            <w:noWrap w:val="0"/>
            <w:vAlign w:val="center"/>
          </w:tcPr>
          <w:p w14:paraId="6EEEA16E">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卢西照</w:t>
            </w:r>
          </w:p>
        </w:tc>
        <w:tc>
          <w:tcPr>
            <w:tcW w:w="1773" w:type="pct"/>
            <w:vMerge w:val="continue"/>
            <w:noWrap w:val="0"/>
            <w:vAlign w:val="center"/>
          </w:tcPr>
          <w:p w14:paraId="1D58FFB7">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723" w:type="pct"/>
            <w:noWrap w:val="0"/>
            <w:vAlign w:val="center"/>
          </w:tcPr>
          <w:p w14:paraId="7546109D">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厂长</w:t>
            </w:r>
          </w:p>
        </w:tc>
        <w:tc>
          <w:tcPr>
            <w:tcW w:w="949" w:type="pct"/>
            <w:noWrap w:val="0"/>
            <w:vAlign w:val="center"/>
          </w:tcPr>
          <w:p w14:paraId="57F00706">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r w14:paraId="1E8E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continue"/>
            <w:noWrap w:val="0"/>
            <w:vAlign w:val="center"/>
          </w:tcPr>
          <w:p w14:paraId="5E29E25F">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662" w:type="pct"/>
            <w:noWrap w:val="0"/>
            <w:vAlign w:val="center"/>
          </w:tcPr>
          <w:p w14:paraId="1CD7B318">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李兰友</w:t>
            </w:r>
          </w:p>
        </w:tc>
        <w:tc>
          <w:tcPr>
            <w:tcW w:w="1773" w:type="pct"/>
            <w:vMerge w:val="continue"/>
            <w:noWrap w:val="0"/>
            <w:vAlign w:val="center"/>
          </w:tcPr>
          <w:p w14:paraId="332987DA">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723" w:type="pct"/>
            <w:noWrap w:val="0"/>
            <w:vAlign w:val="center"/>
          </w:tcPr>
          <w:p w14:paraId="3C8A8F0A">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安环部经理</w:t>
            </w:r>
          </w:p>
        </w:tc>
        <w:tc>
          <w:tcPr>
            <w:tcW w:w="949" w:type="pct"/>
            <w:noWrap w:val="0"/>
            <w:vAlign w:val="center"/>
          </w:tcPr>
          <w:p w14:paraId="358E4381">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r w14:paraId="5FE8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noWrap w:val="0"/>
            <w:vAlign w:val="center"/>
          </w:tcPr>
          <w:p w14:paraId="3CF92CCE">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验收监测单位</w:t>
            </w:r>
          </w:p>
        </w:tc>
        <w:tc>
          <w:tcPr>
            <w:tcW w:w="662" w:type="pct"/>
            <w:noWrap w:val="0"/>
            <w:vAlign w:val="center"/>
          </w:tcPr>
          <w:p w14:paraId="575FC26B">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王秀英</w:t>
            </w:r>
          </w:p>
        </w:tc>
        <w:tc>
          <w:tcPr>
            <w:tcW w:w="1773" w:type="pct"/>
            <w:noWrap w:val="0"/>
            <w:vAlign w:val="center"/>
          </w:tcPr>
          <w:p w14:paraId="29A58CFB">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山东元正检测技术有限公司</w:t>
            </w:r>
          </w:p>
        </w:tc>
        <w:tc>
          <w:tcPr>
            <w:tcW w:w="723" w:type="pct"/>
            <w:noWrap w:val="0"/>
            <w:vAlign w:val="center"/>
          </w:tcPr>
          <w:p w14:paraId="1192D7F9">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技术负责人</w:t>
            </w:r>
          </w:p>
        </w:tc>
        <w:tc>
          <w:tcPr>
            <w:tcW w:w="949" w:type="pct"/>
            <w:noWrap w:val="0"/>
            <w:vAlign w:val="center"/>
          </w:tcPr>
          <w:p w14:paraId="6A1D512C">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r w14:paraId="63A8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restart"/>
            <w:noWrap w:val="0"/>
            <w:vAlign w:val="center"/>
          </w:tcPr>
          <w:p w14:paraId="5AA25E3E">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专业技术专家</w:t>
            </w:r>
          </w:p>
        </w:tc>
        <w:tc>
          <w:tcPr>
            <w:tcW w:w="662" w:type="pct"/>
            <w:noWrap w:val="0"/>
            <w:vAlign w:val="center"/>
          </w:tcPr>
          <w:p w14:paraId="26D2B7BD">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窦晓蕴</w:t>
            </w:r>
          </w:p>
        </w:tc>
        <w:tc>
          <w:tcPr>
            <w:tcW w:w="1773" w:type="pct"/>
            <w:noWrap w:val="0"/>
            <w:vAlign w:val="center"/>
          </w:tcPr>
          <w:p w14:paraId="43AAF549">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山东城市建设职业学院</w:t>
            </w:r>
          </w:p>
        </w:tc>
        <w:tc>
          <w:tcPr>
            <w:tcW w:w="723" w:type="pct"/>
            <w:noWrap w:val="0"/>
            <w:vAlign w:val="center"/>
          </w:tcPr>
          <w:p w14:paraId="1E5ABBAF">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教    授</w:t>
            </w:r>
          </w:p>
        </w:tc>
        <w:tc>
          <w:tcPr>
            <w:tcW w:w="949" w:type="pct"/>
            <w:noWrap w:val="0"/>
            <w:vAlign w:val="center"/>
          </w:tcPr>
          <w:p w14:paraId="0F28F176">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r w14:paraId="5A50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continue"/>
            <w:noWrap w:val="0"/>
            <w:vAlign w:val="center"/>
          </w:tcPr>
          <w:p w14:paraId="61ABE384">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c>
          <w:tcPr>
            <w:tcW w:w="662" w:type="pct"/>
            <w:noWrap w:val="0"/>
            <w:vAlign w:val="center"/>
          </w:tcPr>
          <w:p w14:paraId="2A70727E">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赵长盛</w:t>
            </w:r>
          </w:p>
        </w:tc>
        <w:tc>
          <w:tcPr>
            <w:tcW w:w="1773" w:type="pct"/>
            <w:noWrap w:val="0"/>
            <w:vAlign w:val="center"/>
          </w:tcPr>
          <w:p w14:paraId="6CAF851A">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山东省分析测试中心</w:t>
            </w:r>
          </w:p>
        </w:tc>
        <w:tc>
          <w:tcPr>
            <w:tcW w:w="723" w:type="pct"/>
            <w:noWrap w:val="0"/>
            <w:vAlign w:val="center"/>
          </w:tcPr>
          <w:p w14:paraId="4910AC6A">
            <w:pPr>
              <w:pStyle w:val="19"/>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副研究员</w:t>
            </w:r>
          </w:p>
        </w:tc>
        <w:tc>
          <w:tcPr>
            <w:tcW w:w="949" w:type="pct"/>
            <w:noWrap w:val="0"/>
            <w:vAlign w:val="center"/>
          </w:tcPr>
          <w:p w14:paraId="1A170FEE">
            <w:pPr>
              <w:pStyle w:val="19"/>
              <w:bidi w:val="0"/>
              <w:spacing w:line="240" w:lineRule="auto"/>
              <w:jc w:val="cente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tc>
      </w:tr>
    </w:tbl>
    <w:p w14:paraId="7663FC61">
      <w:pPr>
        <w:pStyle w:val="16"/>
        <w:wordWrap w:val="0"/>
        <w:spacing w:line="360" w:lineRule="auto"/>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sz w:val="28"/>
          <w:szCs w:val="28"/>
        </w:rPr>
        <w:t xml:space="preserve"> </w:t>
      </w:r>
    </w:p>
    <w:p w14:paraId="2723638E">
      <w:pPr>
        <w:pStyle w:val="16"/>
        <w:wordWrap w:val="0"/>
        <w:spacing w:line="360" w:lineRule="auto"/>
        <w:jc w:val="righ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验收工作组</w:t>
      </w:r>
      <w:r>
        <w:rPr>
          <w:rFonts w:hint="eastAsia" w:asciiTheme="minorEastAsia" w:hAnsiTheme="minorEastAsia" w:eastAsiaTheme="minorEastAsia" w:cstheme="minorEastAsia"/>
          <w:sz w:val="28"/>
          <w:szCs w:val="28"/>
          <w:lang w:val="en-US" w:eastAsia="zh-CN"/>
        </w:rPr>
        <w:t xml:space="preserve"> </w:t>
      </w:r>
    </w:p>
    <w:p w14:paraId="14FBDBE4">
      <w:pPr>
        <w:pStyle w:val="16"/>
        <w:keepNext w:val="0"/>
        <w:keepLines w:val="0"/>
        <w:pageBreakBefore w:val="0"/>
        <w:kinsoku/>
        <w:overflowPunct/>
        <w:topLinePunct w:val="0"/>
        <w:bidi w:val="0"/>
        <w:spacing w:line="360" w:lineRule="auto"/>
        <w:jc w:val="right"/>
        <w:rPr>
          <w:rFonts w:hint="eastAsia" w:asciiTheme="minorEastAsia" w:hAnsiTheme="minorEastAsia" w:eastAsiaTheme="minorEastAsia" w:cstheme="minorEastAsia"/>
          <w:lang w:val="en-US" w:eastAsia="zh-CN"/>
        </w:rPr>
        <w:sectPr>
          <w:pgSz w:w="16840" w:h="11910" w:orient="landscape"/>
          <w:pgMar w:top="1247" w:right="1310" w:bottom="1247" w:left="1310" w:header="720" w:footer="720"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sz w:val="28"/>
          <w:szCs w:val="28"/>
        </w:rPr>
        <w:t>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日</w:t>
      </w:r>
    </w:p>
    <w:p w14:paraId="1F264EBB">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23D4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40CECAC">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jNV8zXAQAAsQ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duULPIyzDiJ09R7suK4G2ei&#10;O9edkOeAC9FSi/tPif5oUe+0O4sRFmO3GAcf1L7Py5Vqgb89RGwu95wqTLDINTk4ycx63rq0Kv/6&#10;OevxT9v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IzVfM1wEAALEDAAAOAAAAAAAAAAEA&#10;IAAAACIBAABkcnMvZTJvRG9jLnhtbFBLBQYAAAAABgAGAFkBAABrBQAAAAA=&#10;">
              <v:path/>
              <v:fill on="f" focussize="0,0"/>
              <v:stroke on="f" weight="1.25pt"/>
              <v:imagedata o:title=""/>
              <o:lock v:ext="edit" aspectratio="f"/>
              <v:textbox inset="0mm,0mm,0mm,0mm" style="mso-fit-shape-to-text:t;">
                <w:txbxContent>
                  <w:p w14:paraId="540CECA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C1FA2">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D3ADFE"/>
    <w:multiLevelType w:val="singleLevel"/>
    <w:tmpl w:val="C2D3ADFE"/>
    <w:lvl w:ilvl="0" w:tentative="0">
      <w:start w:val="3"/>
      <w:numFmt w:val="decimal"/>
      <w:suff w:val="space"/>
      <w:lvlText w:val="%1."/>
      <w:lvlJc w:val="left"/>
    </w:lvl>
  </w:abstractNum>
  <w:abstractNum w:abstractNumId="1">
    <w:nsid w:val="2EA8B9F4"/>
    <w:multiLevelType w:val="singleLevel"/>
    <w:tmpl w:val="2EA8B9F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320DAC"/>
    <w:rsid w:val="46320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spacing w:before="0" w:after="0" w:line="360" w:lineRule="auto"/>
      <w:ind w:left="0" w:right="0" w:firstLine="988" w:firstLineChars="200"/>
      <w:jc w:val="both"/>
    </w:pPr>
    <w:rPr>
      <w:rFonts w:ascii="Times New Roman" w:hAnsi="Times New Roman" w:eastAsia="Wingdings" w:cs="Times New Roman"/>
      <w:sz w:val="24"/>
      <w:szCs w:val="22"/>
      <w:lang w:val="zh-CN" w:eastAsia="zh-CN" w:bidi="zh-CN"/>
    </w:rPr>
  </w:style>
  <w:style w:type="character" w:default="1" w:styleId="15">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customStyle="1" w:styleId="3">
    <w:name w:val="Date1"/>
    <w:basedOn w:val="1"/>
    <w:next w:val="1"/>
    <w:qFormat/>
    <w:uiPriority w:val="0"/>
    <w:pPr>
      <w:tabs>
        <w:tab w:val="left" w:pos="540"/>
      </w:tabs>
    </w:pPr>
    <w:rPr>
      <w:sz w:val="21"/>
      <w:szCs w:val="20"/>
    </w:rPr>
  </w:style>
  <w:style w:type="paragraph" w:styleId="4">
    <w:name w:val="Body Text Indent"/>
    <w:basedOn w:val="1"/>
    <w:next w:val="5"/>
    <w:unhideWhenUsed/>
    <w:qFormat/>
    <w:uiPriority w:val="99"/>
    <w:pPr>
      <w:tabs>
        <w:tab w:val="left" w:pos="1271"/>
      </w:tabs>
      <w:spacing w:line="440" w:lineRule="exact"/>
      <w:ind w:firstLine="480" w:firstLineChars="200"/>
    </w:pPr>
    <w:rPr>
      <w:sz w:val="24"/>
    </w:rPr>
  </w:style>
  <w:style w:type="paragraph" w:styleId="5">
    <w:name w:val="header"/>
    <w:basedOn w:val="1"/>
    <w:next w:val="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样式5"/>
    <w:basedOn w:val="2"/>
    <w:next w:val="7"/>
    <w:qFormat/>
    <w:uiPriority w:val="0"/>
    <w:pPr>
      <w:spacing w:after="0"/>
    </w:pPr>
    <w:rPr>
      <w:rFonts w:ascii="黑体" w:eastAsia="黑体"/>
      <w:color w:val="000000"/>
      <w:spacing w:val="-2"/>
      <w:sz w:val="30"/>
      <w:szCs w:val="30"/>
    </w:rPr>
  </w:style>
  <w:style w:type="paragraph" w:customStyle="1" w:styleId="7">
    <w:name w:val="图框文字"/>
    <w:basedOn w:val="1"/>
    <w:qFormat/>
    <w:uiPriority w:val="0"/>
    <w:pPr>
      <w:tabs>
        <w:tab w:val="left" w:pos="540"/>
      </w:tabs>
      <w:jc w:val="center"/>
      <w:textAlignment w:val="center"/>
    </w:pPr>
  </w:style>
  <w:style w:type="paragraph" w:styleId="8">
    <w:name w:val="Plain Text"/>
    <w:basedOn w:val="1"/>
    <w:qFormat/>
    <w:uiPriority w:val="0"/>
    <w:rPr>
      <w:rFonts w:ascii="宋体" w:hAnsi="Courier New"/>
    </w:rPr>
  </w:style>
  <w:style w:type="paragraph" w:styleId="9">
    <w:name w:val="Body Text Indent 2"/>
    <w:basedOn w:val="1"/>
    <w:next w:val="1"/>
    <w:unhideWhenUsed/>
    <w:qFormat/>
    <w:uiPriority w:val="99"/>
    <w:pPr>
      <w:tabs>
        <w:tab w:val="left" w:pos="5565"/>
      </w:tabs>
      <w:spacing w:line="360" w:lineRule="auto"/>
      <w:ind w:firstLine="573"/>
    </w:pPr>
    <w:rPr>
      <w:rFonts w:ascii="宋体"/>
      <w:sz w:val="24"/>
    </w:rPr>
  </w:style>
  <w:style w:type="paragraph" w:styleId="10">
    <w:name w:val="footer"/>
    <w:basedOn w:val="1"/>
    <w:qFormat/>
    <w:uiPriority w:val="0"/>
    <w:pPr>
      <w:tabs>
        <w:tab w:val="center" w:pos="4153"/>
        <w:tab w:val="right" w:pos="8306"/>
      </w:tabs>
      <w:snapToGrid w:val="0"/>
      <w:ind w:firstLine="0" w:firstLineChars="0"/>
      <w:jc w:val="left"/>
    </w:pPr>
    <w:rPr>
      <w:rFonts w:ascii="Times New Roman" w:hAnsi="Times New Roman" w:eastAsia="宋体"/>
      <w:szCs w:val="24"/>
    </w:rPr>
  </w:style>
  <w:style w:type="paragraph" w:styleId="11">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2">
    <w:name w:val="Body Text First Indent 2"/>
    <w:basedOn w:val="4"/>
    <w:next w:val="1"/>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Default"/>
    <w:basedOn w:val="17"/>
    <w:next w:val="12"/>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17">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18">
    <w:name w:val="Char1"/>
    <w:basedOn w:val="1"/>
    <w:qFormat/>
    <w:uiPriority w:val="0"/>
    <w:pPr>
      <w:spacing w:line="360" w:lineRule="auto"/>
      <w:ind w:firstLine="200" w:firstLineChars="200"/>
    </w:pPr>
    <w:rPr>
      <w:rFonts w:ascii="宋体" w:hAnsi="宋体" w:cs="宋体"/>
      <w:sz w:val="24"/>
    </w:rPr>
  </w:style>
  <w:style w:type="paragraph" w:customStyle="1" w:styleId="19">
    <w:name w:val="表格内容"/>
    <w:basedOn w:val="8"/>
    <w:qFormat/>
    <w:uiPriority w:val="0"/>
    <w:pPr>
      <w:adjustRightInd w:val="0"/>
      <w:spacing w:line="240" w:lineRule="auto"/>
      <w:ind w:firstLine="0" w:firstLineChars="0"/>
      <w:jc w:val="center"/>
      <w:textAlignment w:val="baseline"/>
    </w:pPr>
    <w:rPr>
      <w:rFonts w:ascii="Times New Roman" w:hAnsi="Times New Roman" w:eastAsia="Wingdings"/>
      <w:spacing w:val="6"/>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2026-11-03T14:07:00Z</dcterms:created>
  <dc:creator>云淡风清</dc:creator>
  <cp:lastModifiedBy>云淡风清</cp:lastModifiedBy>
  <dcterms:modified xsi:type="dcterms:W3CDTF">2026-11-03T14:07:21Z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3D34AB604D9E4F3DB0853FF7986251C6_11</vt:lpwstr>
  </property>
  <property fmtid="{D5CDD505-2E9C-101B-9397-08002B2CF9AE}" pid="4" name="KSOTemplateDocerSaveRecord">
    <vt:lpwstr>eyJoZGlkIjoiOTg5MzkyNTJjOWRiZDExNGI0MzE4YmUzNDUwNzAwMTEiLCJ1c2VySWQiOiIyOTczNzQxOTMifQ==</vt:lpwstr>
  </property>
</Properties>
</file>